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/>
        <w:jc w:val="center"/>
      </w:pPr>
      <w:r>
        <w:rPr>
          <w:rFonts w:ascii="Inter" w:cs="Inter" w:eastAsia="Inter" w:hAnsi="Inter"/>
          <w:b/>
          <w:bCs/>
          <w:color w:val="0B1437"/>
          <w:sz w:val="52"/>
          <w:szCs w:val="52"/>
        </w:rPr>
        <w:t xml:space="preserve">PRAXION HROS</w:t>
      </w:r>
    </w:p>
    <w:p>
      <w:pPr>
        <w:spacing w:after="80"/>
        <w:jc w:val="center"/>
      </w:pPr>
      <w:r>
        <w:rPr>
          <w:rFonts w:ascii="Inter" w:cs="Inter" w:eastAsia="Inter" w:hAnsi="Inter"/>
          <w:color w:val="2F6BFF"/>
          <w:sz w:val="32"/>
          <w:szCs w:val="32"/>
        </w:rPr>
        <w:t xml:space="preserve">MODULE M2  ·  RECRUITMENT &amp; ATS</w:t>
      </w:r>
    </w:p>
    <w:p>
      <w:pPr>
        <w:pBdr>
          <w:bottom w:val="single" w:color="19D3C5" w:sz="8" w:space="16"/>
        </w:pBdr>
        <w:spacing w:after="400"/>
        <w:jc w:val="center"/>
      </w:pPr>
      <w:r>
        <w:rPr>
          <w:rFonts w:ascii="Inter" w:cs="Inter" w:eastAsia="Inter" w:hAnsi="Inter"/>
          <w:color w:val="0B1437"/>
          <w:sz w:val="28"/>
          <w:szCs w:val="28"/>
        </w:rPr>
        <w:t xml:space="preserve">Consolidated Discovery Questionnaire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Phase 2 — Talent Acquisition</w:t>
      </w:r>
    </w:p>
    <w:p>
      <w:pPr>
        <w:spacing w:after="60"/>
        <w:jc w:val="center"/>
      </w:pPr>
      <w:r>
        <w:rPr>
          <w:rFonts w:ascii="Inter" w:cs="Inter" w:eastAsia="Inter" w:hAnsi="Inter"/>
          <w:color w:val="666666"/>
          <w:sz w:val="22"/>
          <w:szCs w:val="22"/>
        </w:rPr>
        <w:t xml:space="preserve">April 2026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2F6BFF"/>
          <w:sz w:val="22"/>
          <w:szCs w:val="22"/>
        </w:rPr>
        <w:t xml:space="preserve">Target Go-Live: 14 March 2027</w:t>
      </w:r>
    </w:p>
    <w:p>
      <w:pPr>
        <w:spacing w:after="200"/>
      </w:pPr>
      <w:r>
        <w:rPr>
          <w:rFonts w:ascii="Inter" w:cs="Inter" w:eastAsia="Inter" w:hAnsi="Inter"/>
          <w:b/>
          <w:bCs/>
          <w:color w:val="0B1437"/>
          <w:sz w:val="26"/>
          <w:szCs w:val="26"/>
        </w:rPr>
        <w:t xml:space="preserve">How to Use This Document</w:t>
      </w:r>
    </w:p>
    <w:p>
      <w:pPr>
        <w:spacing w:after="12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This questionnaire consolidates all M2 Recruitment &amp; ATS discovery questions. Pre-filled answers (blue italic) are sourced from the BRD v1.0. Mark Y to confirm or N to correct. For blank responses, provide your answer.</w:t>
      </w:r>
    </w:p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1. Hiring Volume &amp; Profile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current and projected hiring volumes, bottlenecks, and targets.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many hires per year today, and what is the projected volume for 2027?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breakdown by job family, seniority, and entity?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are the peak hiring months, and what drives them?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current time-to-hire and cost-per-hire, and what are the targets?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Baseline 45d, target &lt;=28d at go-live, &lt;=21d at +6 months.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Where are the biggest bottlenecks in the funnel today?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6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current duplicate candidate rate?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Baseline 15%. Target &lt;=3% at go-live (BR-M2-003).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2. Requisition &amp; Approval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the hiring request workflow and approval chain.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triggers a new requisition: budgeted role, replacement, business case?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approval matrix by seniority and cost?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information must accompany a requisition (JD, grade, budget, target start date)?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Role, count, required skills, budget, location, urgency are mandatory (BR-M2-001). SLA countdown starts on submission (BR-M2-002).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job descriptions stored and versioned today?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clients be able to clone previous requests to accelerate repeat hiring?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Yes, cloning supported (FR-M2-005).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6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SLA targets apply per requisition type?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SLA timers per stage with visual warning at 50% and 80% consumed.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3. Sourcing &amp; Channels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job board integrations, referral programs, and talent pools.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job boards must Praxion integrate with: LinkedIn, Wuzzuf, Bayt, Naukrigulf, others?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External job board posting out of scope for Phase 2 — API integration planned.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Is there a careers site today? Should Praxion host one or feed an existing site?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employee referral program, and how is it tracked and rewarded?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agencies are in use, and what are their fee structures and SLAs?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candidates from talent pools and silver-medallists re-engaged?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4. Application &amp; Screening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CV parsing, candidate data capture, and screening rules.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information should the application form capture? Any role-specific knock-out questions?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CV screening process today? Is AI-assisted screening acceptable?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CVs must be parsed and enriched before pipeline (BR-M2-004). Upload in PDF, DOCX, image formats.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PDPL consents captured from candidates?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System records candidate consent to PDPL processing and supports withdrawal (FR-M2-007). Rejected records retained 24 months unless DSR erasure (BR-M2-009).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languages should the candidate experience be available in?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Bilingual AR/EN with RTL support.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duplicate detection criteria should be used beyond name + email + phone?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Duplicates within 12 months flagged and merged (BR-M2-003). Detection by name + email + phone (FR-M2-003).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5. Interviews &amp; Assessments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interview process, scorecard structure, and assessment tools.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interview stages are used by job family (recruiter, hiring manager, panel, executive)?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Six-stage Kanban: Sourced &gt; Screened &gt; Interview &gt; Offer &gt; Hired &gt; Rejected. Stage ordering enforced (BR-M2-010).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scorecard or competency framework do interviewers use today?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Interview rating forms with competencies and free-text feedback (FR-M2-003).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Which assessment tools are in use (cognitive, technical, personality, language)?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are interview feedback and decisions captured today?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Outcomes summarised on candidate profile (FR-M2-004). Mobile feedback supported (FR-M2-005).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process for declining a candidate at each stage?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Bulk reject with standard reason code and notification (FR-M2-006).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6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calendar integration (Outlook/Google) be available for interview scheduling?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Calendar integration is a Should priority (FR-M2-002).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6. Offer &amp; Acceptance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offer templates, approval chain, and e-signature requirements.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Who is in the offer approval chain by seniority and salary band?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Clients must approve shortlisted candidates before offers (BR-M2-005).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does the offer letter template contain, and is it bilingual?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Offers from template library only; free-text not permitted (BR-M2-006). Configurable merge fields.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is offer negotiation handled and documented?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Counter-offers tracked with updated offer record (FR-M2-005).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happens when an offer is accepted, declined, or withdrawn?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Acceptance/rejection recorded with timestamp and signature evidence (FR-M2-006). Accepted = converts to employee in M1 + triggers M3 onboarding.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All offers must be e-signed. Are there any exceptions to document?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E-signed mandatory; wet-signed only as exception with audit (BR-M2-007).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7. Client Approval Workflow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client interaction points in the recruitment process.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At what stages must the client approve before proceeding?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Client approves shortlisted candidates before offers (BR-M2-005).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How many candidates should be shortlisted per position for client review?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1-5 candidates with parsed summaries and interview feedback (US-M2-003).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Should client-visible data be completely isolated from other clients?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Yes, client-visible data must never include other clients' candidate information (BR-M2-008).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Can clients request additional interview rounds?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Yes, clients can request another interview round (US-M2-003).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8. Reporting &amp; Analytics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Confirm recruitment KPIs, dashboards, and compliance reporting.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780"/>
        <w:gridCol w:w="38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Response / Pre-filled from BRD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4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Confirm
(Y/N)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1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diversity dimensions are tracked, and which are permitted under Egyptian law?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2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compliance reporting must TA produce for management or regulators?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3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is the candidate data retention policy?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Rejected candidates retained 24 months unless DSR erasure (BR-M2-009).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4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KPIs should the TA dashboard show?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Time-to-fill, source effectiveness, recruiter load, SLA adherence, candidate-to-hire ratio, digital offers %, duplicate rate.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5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What data should the client see vs. what is Egybell-internal only?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Inter" w:cs="Inter" w:eastAsia="Inter" w:hAnsi="Inter"/>
                <w:i/>
                <w:iCs/>
                <w:color w:val="2F6BFF"/>
                <w:sz w:val="20"/>
                <w:szCs w:val="20"/>
              </w:rPr>
              <w:t xml:space="preserve">Stage counts, SLA health visible to client. Internal comments visible only to Egybell (FR-M2-007).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200" w:before="360"/>
      </w:pPr>
      <w:r>
        <w:rPr>
          <w:rFonts w:ascii="Inter" w:cs="Inter" w:eastAsia="Inter" w:hAnsi="Inter"/>
          <w:b/>
          <w:bCs/>
          <w:color w:val="0B1437"/>
          <w:sz w:val="28"/>
          <w:szCs w:val="28"/>
        </w:rPr>
        <w:t xml:space="preserve">Sign-Off</w:t>
      </w:r>
    </w:p>
    <w:p>
      <w:pPr>
        <w:spacing w:after="200"/>
      </w:pPr>
      <w:r>
        <w:rPr>
          <w:rFonts w:ascii="Inter" w:cs="Inter" w:eastAsia="Inter" w:hAnsi="Inter"/>
          <w:color w:val="333333"/>
          <w:sz w:val="20"/>
          <w:szCs w:val="20"/>
        </w:rPr>
        <w:t xml:space="preserve">By signing below, the named stakeholders confirm that they have reviewed and responded to all questions. Confirmed answers will be incorporated into the functional design. Items marked N will be investigated before design freeze.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Name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Title / Role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Date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0B1437"/>
                <w:sz w:val="20"/>
                <w:szCs w:val="20"/>
              </w:rPr>
              <w:t xml:space="preserve">Signature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300"/>
              <w:right w:type="dxa" w:w="120"/>
            </w:tcMar>
          </w:tcPr>
          <w:p>
            <w:r>
              <w:rPr>
                <w:rFonts w:ascii="Inter" w:cs="Inter" w:eastAsia="Inter" w:hAnsi="Inter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8"/>
      </w:pBd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Confidential  |  Egybell Internal + Approved Reviewers  |  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BFF" w:sz="6" w:space="8"/>
      </w:pBdr>
      <w:spacing w:after="100"/>
      <w:jc w:val="left"/>
    </w:pPr>
    <w:r>
      <w:rPr>
        <w:rFonts w:ascii="Inter" w:cs="Inter" w:eastAsia="Inter" w:hAnsi="Inter"/>
        <w:b/>
        <w:bCs/>
        <w:color w:val="0B1437"/>
        <w:sz w:val="18"/>
        <w:szCs w:val="18"/>
      </w:rPr>
      <w:t xml:space="preserve">PRAXION HROS</w:t>
    </w:r>
    <w:r>
      <w:rPr>
        <w:rFonts w:ascii="Inter" w:cs="Inter" w:eastAsia="Inter" w:hAnsi="Inter"/>
        <w:color w:val="666666"/>
        <w:sz w:val="18"/>
        <w:szCs w:val="18"/>
      </w:rPr>
      <w:t xml:space="preserve">  |  M2 Recruitment &amp; ATS  |  Discovery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Inter" w:cs="Inter" w:eastAsia="Inter" w:hAnsi="Inter"/>
      <w:b/>
      <w:bCs/>
      <w:color w:val="0B14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Inter" w:cs="Inter" w:eastAsia="Inter" w:hAnsi="Inter"/>
      <w:b/>
      <w:bCs/>
      <w:color w:val="0B14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2026-04-16T06:35:45.127Z</dcterms:created>
  <dcterms:modified xsi:type="dcterms:W3CDTF">2026-04-16T06:35:45.127Z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