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0B1437"/>
          <w:sz w:val="52"/>
          <w:szCs w:val="52"/>
        </w:rPr>
        <w:t xml:space="preserve">PRAXION HROS</w:t>
      </w:r>
    </w:p>
    <w:p>
      <w:pPr>
        <w:spacing w:after="80"/>
        <w:jc w:val="center"/>
      </w:pPr>
      <w:r>
        <w:rPr>
          <w:rFonts w:ascii="Inter" w:cs="Inter" w:eastAsia="Inter" w:hAnsi="Inter"/>
          <w:color w:val="2F6BFF"/>
          <w:sz w:val="32"/>
          <w:szCs w:val="32"/>
        </w:rPr>
        <w:t xml:space="preserve">MODULE M4  ·  PERFORMANCE &amp; KPIS</w:t>
      </w:r>
    </w:p>
    <w:p>
      <w:pPr>
        <w:pBdr>
          <w:bottom w:val="single" w:color="19D3C5" w:sz="8" w:space="16"/>
        </w:pBdr>
        <w:spacing w:after="400"/>
        <w:jc w:val="center"/>
      </w:pPr>
      <w:r>
        <w:rPr>
          <w:rFonts w:ascii="Inter" w:cs="Inter" w:eastAsia="Inter" w:hAnsi="Inter"/>
          <w:color w:val="0B1437"/>
          <w:sz w:val="28"/>
          <w:szCs w:val="28"/>
        </w:rPr>
        <w:t xml:space="preserve">Consolidated Discovery Questionnaire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Phase 4 — Performance &amp; Insight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April 2026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2F6BFF"/>
          <w:sz w:val="22"/>
          <w:szCs w:val="22"/>
        </w:rPr>
        <w:t xml:space="preserve">Target Go-Live: 14 March 2027</w:t>
      </w:r>
    </w:p>
    <w:p>
      <w:pPr>
        <w:spacing w:after="200"/>
      </w:pPr>
      <w:r>
        <w:rPr>
          <w:rFonts w:ascii="Inter" w:cs="Inter" w:eastAsia="Inter" w:hAnsi="Inter"/>
          <w:b/>
          <w:bCs/>
          <w:color w:val="0B1437"/>
          <w:sz w:val="26"/>
          <w:szCs w:val="26"/>
        </w:rPr>
        <w:t xml:space="preserve">How to Use This Document</w:t>
      </w:r>
    </w:p>
    <w:p>
      <w:pPr>
        <w:spacing w:after="12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This questionnaire consolidates all M4 Performance &amp; KPIs discovery questions. Pre-filled answers (blue italic) are sourced from the BRD v1.0. Mark Y to confirm or N to correct. For blank responses, provide your answer.</w:t>
      </w:r>
    </w:p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1. Performance Philosophy &amp; Cycle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the performance approach, frequency, and alignment.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Is the performance approach annual, semi-annual, quarterly, or continuous?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Cycle definition supports quarterly, semi-annual, annual (FR-M4-001).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Are there separate cycles for goals, check-ins, and reviews?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Are cycles aligned to the calendar year, fiscal year, or hire date?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executive narrative for performance — accountability, development, calibration?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2. Goal Setting &amp; KPIs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the goal framework, cascading rules, and compensation links.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framework is used: OKRs, SMART goals, KPIs, balanced scorecard, hybrid?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Goals must be SMART (BR-M4-001). Cascading from company &gt; function &gt; team &gt; individual (FR-M4-005).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many goals per employee per cycle is typical?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individual KPIs tied to compensation and bonus?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Merit recommendations feed to M6. Calibration mandatory for ratings influencing merit (BR-M4-004).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Who can edit goals after they are locked?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Managers can approve, amend, or reject goals (FR-M4-003).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is goal progress tracked (quantitative updates, milestones)?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Quantitative and qualitative progress updates supported (FR-M4-004).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3. Check-Ins &amp; Continuous Feedback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1:1 cadence, peer feedback, and real-time recognition.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expected frequency of 1:1 check-ins, and is this enforced or encouraged?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the system support real-time peer feedback and recognition?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360 feedback from peers and direct reports with anonymity options (FR-M4-003).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feedback notes used in the formal review?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All inputs combined into final score per weighting policy (FR-M4-005).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4. Review Process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rating scales, review templates, and 360 feedback.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rating scale is used (3-point, 5-point, descriptive)?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Is self-assessment required before manager assessment?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Yes — self-assessment mandatory before manager review (BR-M4-003).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Are 360-degree reviews used? For which populations?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360 feedback supported with anonymity options (FR-M4-003).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review template — competencies, results, behaviors, all three?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approval and acknowledgement workflow applies after review?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Final ratings communicated with option to acknowledge or dispute (BR-M4-005). Dispute triggers HR review workflow (FR-M4-004).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5. Calibration &amp; Talent Review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calibration process and talent matrix.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Are calibration sessions held? Who attends and how is the data prepared?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Calibration workspace for HR Manager to adjust ratings across managers (FR-M4-001). Distribution view by team, department, tenant (FR-M4-002).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Is a 9-box or similar talent matrix used?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high-potential employees identified and tagged?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succession planning process today?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6. Client Ratings (Outsourced Employees)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how clients rate outsourced staff and the weight of those ratings.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clients rate outsourced employees on job performance, communication, professionalism?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Yes — client ratings via Client Portal (M12) on 3 dimensions per cycle (US-M4-001). Configurable weight in final score (BR-M4-002).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happens when a client gives a low rating?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Low rating triggers HR alert and development conversation (US-M4-001 AC).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Are previous client ratings visible and updatable within the cycle window?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Yes, previous ratings visible and updatable within cycle (US-M4-001 AC).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target coverage for client ratings?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Baseline 0%, target &gt;=80% at go-live, &gt;=90% at +6 months.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7. Underperformance &amp; PIP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PIP triggers, structure, and legal requirements.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triggers a Performance Improvement Plan?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PIP duration, structure, and approval workflow?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PIP outcomes documented and communicated?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are the legal sign-off requirements at each PIP stage?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8. Compensation Linkage &amp; Recognition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how performance drives pay and recognition programs.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does the performance rating drive merit increase, bonus, and promotion?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Merit recommendations feed to M6. Development plans feed to M5 (FR-M4-005).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Is there a forced distribution or bell curve?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calibration outcomes communicated to Compensation?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Are there formal recognition programs (spot awards, peer awards, annual awards)?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Sign-Off</w:t>
      </w:r>
    </w:p>
    <w:p>
      <w:pPr>
        <w:spacing w:after="20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By signing below, the named stakeholders confirm that they have reviewed and responded to all questions. Confirmed answers will be incorporated into the functional design. Items marked N will be investigated before design freeze.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Name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Signature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8"/>
      </w:pBdr>
      <w:jc w:val="center"/>
    </w:pPr>
    <w:r>
      <w:rPr>
        <w:rFonts w:ascii="Inter" w:cs="Inter" w:eastAsia="Inter" w:hAnsi="Inter"/>
        <w:color w:val="666666"/>
        <w:sz w:val="16"/>
        <w:szCs w:val="16"/>
      </w:rPr>
      <w:t xml:space="preserve">Confidential  |  Egybell Internal + Approved Reviewers  |  Page </w:t>
    </w:r>
    <w:r>
      <w:rPr>
        <w:rFonts w:ascii="Inter" w:cs="Inter" w:eastAsia="Inter" w:hAnsi="Inter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BFF" w:sz="6" w:space="8"/>
      </w:pBdr>
      <w:spacing w:after="100"/>
      <w:jc w:val="left"/>
    </w:pPr>
    <w:r>
      <w:rPr>
        <w:rFonts w:ascii="Inter" w:cs="Inter" w:eastAsia="Inter" w:hAnsi="Inter"/>
        <w:b/>
        <w:bCs/>
        <w:color w:val="0B1437"/>
        <w:sz w:val="18"/>
        <w:szCs w:val="18"/>
      </w:rPr>
      <w:t xml:space="preserve">PRAXION HROS</w:t>
    </w:r>
    <w:r>
      <w:rPr>
        <w:rFonts w:ascii="Inter" w:cs="Inter" w:eastAsia="Inter" w:hAnsi="Inter"/>
        <w:color w:val="666666"/>
        <w:sz w:val="18"/>
        <w:szCs w:val="18"/>
      </w:rPr>
      <w:t xml:space="preserve">  |  M4 Performance &amp; KPIs  |  Discovery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Inter" w:cs="Inter" w:eastAsia="Inter" w:hAnsi="Inter"/>
      <w:b/>
      <w:bCs/>
      <w:color w:val="0B14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Inter" w:cs="Inter" w:eastAsia="Inter" w:hAnsi="Inter"/>
      <w:b/>
      <w:bCs/>
      <w:color w:val="0B14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2026-04-16T06:35:45.237Z</dcterms:created>
  <dcterms:modified xsi:type="dcterms:W3CDTF">2026-04-16T06:35:45.237Z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