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MODULE 6 — PAYROLL &amp; COMPENSATION</w:t>
      </w:r>
    </w:p>
    <w:p>
      <w:pPr>
        <w:spacing w:after="60" w:before="0"/>
      </w:pPr>
      <w:r>
        <w:rPr>
          <w:rFonts w:ascii="Arial" w:cs="Arial" w:eastAsia="Arial" w:hAnsi="Arial"/>
          <w:b/>
          <w:bCs/>
          <w:color w:val="0B2545"/>
          <w:sz w:val="36"/>
          <w:szCs w:val="36"/>
        </w:rPr>
        <w:t xml:space="preserve">Discovery Questionnaire — Payroll &amp; Finance Workshop</w:t>
      </w:r>
    </w:p>
    <w:p>
      <w:pPr>
        <w:spacing w:after="240" w:before="0"/>
      </w:pPr>
      <w:r>
        <w:rPr>
          <w:rFonts w:ascii="Arial" w:cs="Arial" w:eastAsia="Arial" w:hAnsi="Arial"/>
          <w:i/>
          <w:iCs/>
          <w:color w:val="595959"/>
          <w:sz w:val="22"/>
          <w:szCs w:val="22"/>
        </w:rPr>
        <w:t xml:space="preserve">Prepared for the joint Praxion × Finance / Payroll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pPr>
      <w:r>
        <w:rPr>
          <w:rFonts w:ascii="Arial" w:cs="Arial" w:eastAsia="Arial" w:hAnsi="Arial"/>
          <w:sz w:val="22"/>
          <w:szCs w:val="22"/>
        </w:rPr>
        <w:t xml:space="preserve">This questionnaire captures the open questions that the Module 6 (Payroll &amp; Compensation) Business Requirements Document cannot answer on its own. The goal of the meeting is to walk through each section together, capture answers in the right-hand column, and flag any items that require follow-up from Tax, Treasury, or Internal Audit. Responses will feed directly into the M6 functional design and the integration spec with the ERP, Benefits, and Time &amp; Attendance modules.</w:t>
      </w:r>
    </w:p>
    <w:p>
      <w:pPr>
        <w:pStyle w:val="Heading2"/>
        <w:spacing w:after="120" w:before="240"/>
      </w:pPr>
      <w:r>
        <w:rPr>
          <w:rFonts w:ascii="Arial" w:cs="Arial" w:eastAsia="Arial" w:hAnsi="Arial"/>
          <w:b/>
          <w:bCs/>
          <w:color w:val="13A4A4"/>
          <w:sz w:val="24"/>
          <w:szCs w:val="24"/>
        </w:rPr>
        <w:t xml:space="preserve">How to use this document</w:t>
      </w:r>
    </w:p>
    <w:p>
      <w:pPr>
        <w:spacing w:after="12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M6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Finance / Payroll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Pay Cycles &amp; Run Mechanics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pay frequency for each employee population (monthly staff, weekly/bi-weekly, contractors)?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cutoff dates, pay dates, and full payroll calendar for 2027?</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policy for off-cycle runs — what triggers one, who approves, and what is the SLA to disburse?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From cutoff to bank credit, what is the hard deadline we must meet on each run?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any 13th-month or annual bonus cycles we must plan for separately?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Egypt Statutory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current social insurance rates (employee + employer share), wage ceilings, and any 2027 changes already announced?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income tax brackets are in force for FY2026/27, and what is the personal exemption?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family-status or dependent adjustments applied? If so, how are they captured?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of the following are currently withheld: stamp duty, emergency fund, training levy, syndicate/union dues, other?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EOSB / gratuity formula in use, including handling of partial years and termination reason?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monthly, quarterly, and annual filings are submitted to ETA and NOSI? Form names, file formats, channels?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currently owns each statutory filing, and what is the deadline for each?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any pending or anticipated legal/regulatory changes that will affect payroll in 2027?</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Earnings &amp; Deductions Catalog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Please share the full wage-type list: every allowance currently in use (housing, transport, meal, mobile, nature-of-work, shift, etc.).</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For each wage type: is it taxable? Is it insurable? Pre-tax or post-tax?</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variable pay (commissions, bonuses, incentives) calculated and approved? Does it run with payroll or separately?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overtime rules: weekday, rest day, and public holiday multipliers? Any caps?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grades or job categories are eligible for overtime?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leave encashment and unpaid-leave proration rules?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policy for loans and salary advances: eligibility, max amount, interest, repayment schedule, early settlement?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garnishments, court orders, and alimony handled, and what is their priority order against other deductions?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Salary Structures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current grade and band structure? Please share midpoints and ranges.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any red-circle or green-circle rules in effect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merit increases, promotions, and market adjustments applied? Effective dating rules?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policy on retroactive adjustments — how far back can we go, and who signs off?</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shadow grades, expat allowances, or any non-standard pay structures we should know about?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Banking &amp; Disbursement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banks does Praxion disburse through?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exact bank file format required by each bank (CSV/TXT/XML, field layout, encoding)?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 WPS-equivalent mandate or central reporting requirement we must meet?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is in the approval matrix for releasing the bank file? What are the thresholds and segregation-of-duties requirements?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failed or returned payments handled and reconciled?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Do any populations still receive cash or cheque payments? If so, what is the volume and process?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GL &amp; Cost Accounting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Please share the chart of accounts mapping: which wage types post to which GL accounts, by entity.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payroll cost allocated across cost centers, projects, or departments? Where does the split come from?</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journal entry format expected by the ERP, and how often is it posted?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reconciliation process between payroll and GL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accruals (EOSB, leave, bonus) calculated monthly, and what are the reversal rules?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ERP / GL system are we integrating with, and is there an existing interface we should reuse?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Multi-Entity &amp; Multi-Currency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many legal entities will run on Praxion at go-live? Please list them.</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Do any entities pay in non-EGP currency? If so, which currencies?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FX source and rate-fixing policy for FX-denominated contracts?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inter-company recharges for shared employees? How are they handled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8. Payslip &amp; Employee-Facing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Please share the current payslip template. What fields are mandatory by law or policy?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 payslip required in Arabic, English, or bilingual? Any other legal disclosures?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self-service capabilities should employees have: download payslips, tax certificates, loan statements? How many years of history?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format of the year-end tax certificate?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any communications (SMS, email) that must be triggered when payroll is released?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9. Controls, Audit &amp; Confidentiality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full approval matrix for a payroll run (prep → review → approve → release)?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delegations handled when an approver is on leave?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is authorized to view which salary data? Is there a 'payroll within payroll' for executive compensation?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audit trail events must be logged, and what is the retention period?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evidence will Internal Audit, ISO, or SOC require from the payroll system?</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reversal or void process for a run that has already been posted?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10. Integrations &amp; Data Migration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payroll system is in use today, and what is its current state (version, customizations, known issues)?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historical data must be migrated: YTD balances, EOSB accruals, loan balances, leave balances, tax YTD? How many years?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source of truth for time and attendance (hours, overtime, absences)?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deductions are owned by Benefits Admin (M7) versus configured directly in Payroll (M6)?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expense reimbursements settled through payroll or a separate Finance rail?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contractor payments (M8) processed today — through payroll or AP — and what is the tax treatment?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11. Operational Reality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owns month-end payroll close today? Please walk us through their punch list.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top 5 recurring errors or exceptions in the current process?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peak-load dates of the year (year-end, bonus run, annual increase) and their volumes?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single thing you would most like to fix or automate in the current payroll process?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else from Finance, Tax, Treasury, or Internal Audit must be consulted before sign-off?</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Finance / Payroll lead: ____________________________     Date: ____________</w:t>
      </w:r>
    </w:p>
    <w:p>
      <w:pPr>
        <w:spacing w:before="200"/>
      </w:pPr>
      <w:r>
        <w:rPr>
          <w:rFonts w:ascii="Arial" w:cs="Arial" w:eastAsia="Arial" w:hAnsi="Arial"/>
          <w:sz w:val="22"/>
          <w:szCs w:val="22"/>
        </w:rPr>
        <w:t xml:space="preserve">Praxion (M6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M6 Payroll &amp; Compensation  |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Discovery Questionnaire</dc:title>
  <dc:creator>Praxion HROS — M6 Discovery</dc:creator>
  <cp:lastModifiedBy>Un-named</cp:lastModifiedBy>
  <cp:revision>1</cp:revision>
  <dcterms:created xsi:type="dcterms:W3CDTF">2026-04-14T09:11:38.408Z</dcterms:created>
  <dcterms:modified xsi:type="dcterms:W3CDTF">2026-04-14T09:11:38.408Z</dcterms:modified>
</cp:coreProperties>
</file>

<file path=docProps/custom.xml><?xml version="1.0" encoding="utf-8"?>
<Properties xmlns="http://schemas.openxmlformats.org/officeDocument/2006/custom-properties" xmlns:vt="http://schemas.openxmlformats.org/officeDocument/2006/docPropsVTypes"/>
</file>