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FF03" w14:textId="77777777" w:rsidR="008A483C" w:rsidRDefault="008A483C">
      <w:pPr>
        <w:spacing w:before="1200"/>
      </w:pPr>
    </w:p>
    <w:p w14:paraId="717C1311" w14:textId="77777777" w:rsidR="008A483C" w:rsidRDefault="00000000">
      <w:pPr>
        <w:spacing w:after="100"/>
        <w:jc w:val="center"/>
      </w:pPr>
      <w:r>
        <w:rPr>
          <w:b/>
          <w:bCs/>
          <w:color w:val="0B1437"/>
          <w:sz w:val="52"/>
          <w:szCs w:val="52"/>
        </w:rPr>
        <w:t>PRAXION HROS</w:t>
      </w:r>
    </w:p>
    <w:p w14:paraId="3FF4727B" w14:textId="77777777" w:rsidR="008A483C" w:rsidRDefault="00000000">
      <w:pPr>
        <w:spacing w:after="80"/>
        <w:jc w:val="center"/>
      </w:pPr>
      <w:r>
        <w:rPr>
          <w:color w:val="2F6BFF"/>
          <w:sz w:val="32"/>
          <w:szCs w:val="32"/>
        </w:rPr>
        <w:t>MODULE M6  ·  PAYROLL &amp; COMPENSATION</w:t>
      </w:r>
    </w:p>
    <w:p w14:paraId="1FD8A38A" w14:textId="77777777" w:rsidR="008A483C" w:rsidRDefault="00000000">
      <w:pPr>
        <w:pBdr>
          <w:bottom w:val="single" w:sz="8" w:space="16" w:color="19D3C5"/>
        </w:pBdr>
        <w:spacing w:after="400"/>
        <w:jc w:val="center"/>
      </w:pPr>
      <w:r>
        <w:rPr>
          <w:color w:val="0B1437"/>
          <w:sz w:val="28"/>
          <w:szCs w:val="28"/>
        </w:rPr>
        <w:t>Consolidated Discovery Questionnaire</w:t>
      </w:r>
    </w:p>
    <w:p w14:paraId="5506AA37" w14:textId="77777777" w:rsidR="008A483C" w:rsidRDefault="00000000">
      <w:pPr>
        <w:spacing w:after="60"/>
        <w:jc w:val="center"/>
      </w:pPr>
      <w:r>
        <w:rPr>
          <w:color w:val="666666"/>
        </w:rPr>
        <w:t>Phase 3 — Money Flows</w:t>
      </w:r>
    </w:p>
    <w:p w14:paraId="7BBCEBF3" w14:textId="77777777" w:rsidR="008A483C" w:rsidRDefault="00000000">
      <w:pPr>
        <w:spacing w:after="60"/>
        <w:jc w:val="center"/>
      </w:pPr>
      <w:r>
        <w:rPr>
          <w:color w:val="666666"/>
        </w:rPr>
        <w:t>April 2026</w:t>
      </w:r>
    </w:p>
    <w:p w14:paraId="19B4BFAB" w14:textId="77777777" w:rsidR="008A483C" w:rsidRDefault="00000000">
      <w:pPr>
        <w:spacing w:after="400"/>
        <w:jc w:val="center"/>
      </w:pPr>
      <w:r>
        <w:rPr>
          <w:b/>
          <w:bCs/>
          <w:color w:val="2F6BFF"/>
        </w:rPr>
        <w:t>Target Go-Live: 14 March 2027</w:t>
      </w:r>
    </w:p>
    <w:p w14:paraId="4629B64C" w14:textId="77777777" w:rsidR="008A483C" w:rsidRDefault="00000000">
      <w:pPr>
        <w:spacing w:after="200"/>
      </w:pPr>
      <w:r>
        <w:rPr>
          <w:b/>
          <w:bCs/>
          <w:color w:val="0B1437"/>
          <w:sz w:val="26"/>
          <w:szCs w:val="26"/>
        </w:rPr>
        <w:t>How to Use This Document</w:t>
      </w:r>
    </w:p>
    <w:p w14:paraId="49435DC5" w14:textId="77777777" w:rsidR="008A483C" w:rsidRDefault="00000000">
      <w:pPr>
        <w:spacing w:after="120"/>
      </w:pPr>
      <w:r>
        <w:rPr>
          <w:color w:val="333333"/>
          <w:sz w:val="20"/>
          <w:szCs w:val="20"/>
        </w:rPr>
        <w:t>This questionnaire consolidates all M6 Payroll &amp; Compensation discovery questions. Pre-filled answers (blue italic) are sourced from the BRD v1.0. Mark Y to confirm or N to correct. For blank responses, provide your answer.</w:t>
      </w:r>
    </w:p>
    <w:p w14:paraId="38713871" w14:textId="77777777" w:rsidR="008A483C" w:rsidRDefault="00000000">
      <w:r>
        <w:br w:type="page"/>
      </w:r>
    </w:p>
    <w:p w14:paraId="6A8F13C6" w14:textId="77777777" w:rsidR="008A483C" w:rsidRDefault="00000000">
      <w:pPr>
        <w:pStyle w:val="Heading2"/>
        <w:spacing w:before="360"/>
      </w:pPr>
      <w:r>
        <w:lastRenderedPageBreak/>
        <w:t>1. Pay Cycles &amp; Run Mechanics</w:t>
      </w:r>
    </w:p>
    <w:p w14:paraId="0DF69323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pay frequency, cutoff dates, and off-cycle policies.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01CB23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5106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2C92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AB44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1B74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0D0FE6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0690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BD33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pay frequency for each employee population (monthly staff, weekly/bi-weekly, contractors)?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13D0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D493" w14:textId="77777777" w:rsidR="008A483C" w:rsidRDefault="008A483C">
            <w:pPr>
              <w:jc w:val="center"/>
            </w:pPr>
          </w:p>
        </w:tc>
      </w:tr>
      <w:tr w:rsidR="008A483C" w14:paraId="5CC21D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AB84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B122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cutoff dates, pay dates, and full payroll calendar for 2027?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3873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581D" w14:textId="77777777" w:rsidR="008A483C" w:rsidRDefault="008A483C">
            <w:pPr>
              <w:jc w:val="center"/>
            </w:pPr>
          </w:p>
        </w:tc>
      </w:tr>
      <w:tr w:rsidR="008A483C" w14:paraId="3B2DB0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8D50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E57E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policy for off-cycle runs — triggers, approvals, SLA?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EBC9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7621" w14:textId="77777777" w:rsidR="008A483C" w:rsidRDefault="008A483C">
            <w:pPr>
              <w:jc w:val="center"/>
            </w:pPr>
          </w:p>
        </w:tc>
      </w:tr>
      <w:tr w:rsidR="008A483C" w14:paraId="5498DE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F04E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CEB5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From cutoff to bank credit, what is the hard deadline?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BE96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Target: payroll run &lt;=4h at go-live (from 2 days today).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4940" w14:textId="77777777" w:rsidR="008A483C" w:rsidRDefault="008A483C">
            <w:pPr>
              <w:jc w:val="center"/>
            </w:pPr>
          </w:p>
        </w:tc>
      </w:tr>
      <w:tr w:rsidR="008A483C" w14:paraId="561BA7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EB8B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F907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13th-month or annual bonus cycles to plan for separately?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070F6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6B1A" w14:textId="77777777" w:rsidR="008A483C" w:rsidRDefault="008A483C">
            <w:pPr>
              <w:jc w:val="center"/>
            </w:pPr>
          </w:p>
        </w:tc>
      </w:tr>
      <w:tr w:rsidR="008A483C" w14:paraId="235234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A38CC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F22E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payroll preview and approval workflow?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A329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Preview &gt; variance review &gt; dual approval &gt; lock (BR-M6-004). Locked cycles immutable (BR-M6-005).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0434" w14:textId="77777777" w:rsidR="008A483C" w:rsidRDefault="008A483C">
            <w:pPr>
              <w:jc w:val="center"/>
            </w:pPr>
          </w:p>
        </w:tc>
      </w:tr>
    </w:tbl>
    <w:p w14:paraId="23B336C3" w14:textId="77777777" w:rsidR="008A483C" w:rsidRDefault="00000000">
      <w:pPr>
        <w:pStyle w:val="Heading2"/>
        <w:spacing w:before="360"/>
      </w:pPr>
      <w:r>
        <w:t>2. Egypt Statutory Compliance</w:t>
      </w:r>
    </w:p>
    <w:p w14:paraId="2D488A8B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PIT, SI, and EOSB rules in force.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7C5846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B6B5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3126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27CB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57EF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4760F4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9A9E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8BD1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current social insurance rates (employee + employer share) and wage ceilings?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CAC2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SI contributions subject to wage ceiling; shares tracked separately (BR-M6-002).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5BA6" w14:textId="77777777" w:rsidR="008A483C" w:rsidRDefault="008A483C">
            <w:pPr>
              <w:jc w:val="center"/>
            </w:pPr>
          </w:p>
        </w:tc>
      </w:tr>
      <w:tr w:rsidR="008A483C" w14:paraId="2EB9F9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07802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CF46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income tax brackets are in force for FY2026/27, and what is the personal exemption?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9582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PIT calculated using brackets on cycle effective date (BR-M6-001). Version-controlled with effective dates (FR-M6-002).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776A" w14:textId="77777777" w:rsidR="008A483C" w:rsidRDefault="008A483C">
            <w:pPr>
              <w:jc w:val="center"/>
            </w:pPr>
          </w:p>
        </w:tc>
      </w:tr>
      <w:tr w:rsidR="008A483C" w14:paraId="1C3EE2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3F41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7596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family-status or dependent adjustments applied?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AE37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730F" w14:textId="77777777" w:rsidR="008A483C" w:rsidRDefault="008A483C">
            <w:pPr>
              <w:jc w:val="center"/>
            </w:pPr>
          </w:p>
        </w:tc>
      </w:tr>
      <w:tr w:rsidR="008A483C" w14:paraId="795C59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446B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857B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deductions are currently withheld: stamp duty, emergency fund, training levy, union dues?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7389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1CEB" w14:textId="77777777" w:rsidR="008A483C" w:rsidRDefault="008A483C">
            <w:pPr>
              <w:jc w:val="center"/>
            </w:pPr>
          </w:p>
        </w:tc>
      </w:tr>
      <w:tr w:rsidR="008A483C" w14:paraId="68B9CB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E0B3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303B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EOSB formula, including partial years and termination reason handling?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3548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Half month per year for first 5 years, one month per year thereafter (BR-M6-003).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C993" w14:textId="77777777" w:rsidR="008A483C" w:rsidRDefault="008A483C">
            <w:pPr>
              <w:jc w:val="center"/>
            </w:pPr>
          </w:p>
        </w:tc>
      </w:tr>
      <w:tr w:rsidR="008A483C" w14:paraId="2CE0DC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381B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425E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monthly/quarterly/annual filings are submitted to ETA and NOSI?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F2D4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NOSI Form 1/2/6 generated monthly (BR-M6-007). Submission via API or SFTP (FR-M6-003).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9152" w14:textId="77777777" w:rsidR="008A483C" w:rsidRDefault="008A483C">
            <w:pPr>
              <w:jc w:val="center"/>
            </w:pPr>
          </w:p>
        </w:tc>
      </w:tr>
      <w:tr w:rsidR="008A483C" w14:paraId="77ABFE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6D8B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lastRenderedPageBreak/>
              <w:t>7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46A9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pending regulatory changes that will affect payroll in 2027?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A114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Statutory changes absorbed through configuration engine, no code changes.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5461" w14:textId="77777777" w:rsidR="008A483C" w:rsidRDefault="008A483C">
            <w:pPr>
              <w:jc w:val="center"/>
            </w:pPr>
          </w:p>
        </w:tc>
      </w:tr>
    </w:tbl>
    <w:p w14:paraId="1C4D9397" w14:textId="77777777" w:rsidR="008A483C" w:rsidRDefault="00000000">
      <w:r>
        <w:br w:type="page"/>
      </w:r>
    </w:p>
    <w:p w14:paraId="6723CD76" w14:textId="77777777" w:rsidR="008A483C" w:rsidRDefault="00000000">
      <w:pPr>
        <w:pStyle w:val="Heading2"/>
        <w:spacing w:before="360"/>
      </w:pPr>
      <w:r>
        <w:lastRenderedPageBreak/>
        <w:t>3. Earnings &amp; Deductions Catalog</w:t>
      </w:r>
    </w:p>
    <w:p w14:paraId="638E1E41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all wage types, allowances, and deduction rules.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2F4C08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7D27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1D54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0965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0E0D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42051B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3DD9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67D3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Please share the full wage-type list: every allowance in use (housing, transport, meal, mobile, shift, etc.).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FA1F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Configurable earning/deduction codes with formulas and effective dates (FR-M6-001). Multi-tenant catalogues with inheritance (FR-M6-003).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B4364" w14:textId="77777777" w:rsidR="008A483C" w:rsidRDefault="008A483C">
            <w:pPr>
              <w:jc w:val="center"/>
            </w:pPr>
          </w:p>
        </w:tc>
      </w:tr>
      <w:tr w:rsidR="008A483C" w14:paraId="4ADFB7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BA4C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CC01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For each wage type: is it taxable? Insurable? Pre-tax or post-tax?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0665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4E32" w14:textId="77777777" w:rsidR="008A483C" w:rsidRDefault="008A483C">
            <w:pPr>
              <w:jc w:val="center"/>
            </w:pPr>
          </w:p>
        </w:tc>
      </w:tr>
      <w:tr w:rsidR="008A483C" w14:paraId="2B083B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1D7C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DAAA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variable pay (commissions, bonuses, incentives) calculated and approved?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8393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73BE" w14:textId="77777777" w:rsidR="008A483C" w:rsidRDefault="008A483C">
            <w:pPr>
              <w:jc w:val="center"/>
            </w:pPr>
          </w:p>
        </w:tc>
      </w:tr>
      <w:tr w:rsidR="008A483C" w14:paraId="05D11D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EA1C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38A5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overtime rules: weekday, rest day, and public holiday multipliers?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F12E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2005" w14:textId="77777777" w:rsidR="008A483C" w:rsidRDefault="008A483C">
            <w:pPr>
              <w:jc w:val="center"/>
            </w:pPr>
          </w:p>
        </w:tc>
      </w:tr>
      <w:tr w:rsidR="008A483C" w14:paraId="35FDDF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A51B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D78D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are the leave encashment and unpaid-leave proration rules?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EE6C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599E5" w14:textId="77777777" w:rsidR="008A483C" w:rsidRDefault="008A483C">
            <w:pPr>
              <w:jc w:val="center"/>
            </w:pPr>
          </w:p>
        </w:tc>
      </w:tr>
      <w:tr w:rsidR="008A483C" w14:paraId="2E4F98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6EA6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6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B790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loans, salary advances, garnishments, and court orders handled?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E050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1E19" w14:textId="77777777" w:rsidR="008A483C" w:rsidRDefault="008A483C">
            <w:pPr>
              <w:jc w:val="center"/>
            </w:pPr>
          </w:p>
        </w:tc>
      </w:tr>
    </w:tbl>
    <w:p w14:paraId="3E964970" w14:textId="77777777" w:rsidR="008A483C" w:rsidRDefault="00000000">
      <w:pPr>
        <w:pStyle w:val="Heading2"/>
        <w:spacing w:before="360"/>
      </w:pPr>
      <w:r>
        <w:t>4. Salary Structures</w:t>
      </w:r>
    </w:p>
    <w:p w14:paraId="268C1300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grade/band structure and adjustment policies.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217214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9B26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EAD4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A1AD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61CF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023DA5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C9FB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6971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current grade and band structure? Please share midpoints and ranges.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E3EC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C6B3" w14:textId="77777777" w:rsidR="008A483C" w:rsidRDefault="008A483C">
            <w:pPr>
              <w:jc w:val="center"/>
            </w:pPr>
          </w:p>
        </w:tc>
      </w:tr>
      <w:tr w:rsidR="008A483C" w14:paraId="362D75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35F6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C7A8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merit increases, promotions, and market adjustments applied?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45BB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Merit recommendations from M4 performance.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FEA3" w14:textId="77777777" w:rsidR="008A483C" w:rsidRDefault="008A483C">
            <w:pPr>
              <w:jc w:val="center"/>
            </w:pPr>
          </w:p>
        </w:tc>
      </w:tr>
      <w:tr w:rsidR="008A483C" w14:paraId="2A0048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4C1C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94FB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policy on retroactive adjustments — how far back, and who signs off?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2D9C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9E01" w14:textId="77777777" w:rsidR="008A483C" w:rsidRDefault="008A483C">
            <w:pPr>
              <w:jc w:val="center"/>
            </w:pPr>
          </w:p>
        </w:tc>
      </w:tr>
      <w:tr w:rsidR="008A483C" w14:paraId="4DF1F5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FE6C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518C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Are there shadow grades, expat allowances, or non-standard pay structures?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394E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502E" w14:textId="77777777" w:rsidR="008A483C" w:rsidRDefault="008A483C">
            <w:pPr>
              <w:jc w:val="center"/>
            </w:pPr>
          </w:p>
        </w:tc>
      </w:tr>
    </w:tbl>
    <w:p w14:paraId="566A4576" w14:textId="77777777" w:rsidR="008A483C" w:rsidRDefault="00000000">
      <w:r>
        <w:br w:type="page"/>
      </w:r>
    </w:p>
    <w:p w14:paraId="45F79D61" w14:textId="77777777" w:rsidR="008A483C" w:rsidRDefault="00000000">
      <w:pPr>
        <w:pStyle w:val="Heading2"/>
        <w:spacing w:before="360"/>
      </w:pPr>
      <w:r>
        <w:lastRenderedPageBreak/>
        <w:t>5. Banking &amp; Disbursement</w:t>
      </w:r>
    </w:p>
    <w:p w14:paraId="475D6017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bank file formats, approval matrix, and exception handling.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53E5E2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21A1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FE11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D78D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EFBFD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4753FA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BD7D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2359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banks does Praxion disburse through?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FD59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2E60" w14:textId="77777777" w:rsidR="008A483C" w:rsidRDefault="008A483C">
            <w:pPr>
              <w:jc w:val="center"/>
            </w:pPr>
          </w:p>
        </w:tc>
      </w:tr>
      <w:tr w:rsidR="008A483C" w14:paraId="212013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DB7A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C2D8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exact bank file format required by each bank (CSV/TXT/XML, field layout, encoding)?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A51F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Bank files must match bank template exactly (BR-M6-006). Formats TBD (BRD open question).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6923" w14:textId="77777777" w:rsidR="008A483C" w:rsidRDefault="008A483C">
            <w:pPr>
              <w:jc w:val="center"/>
            </w:pPr>
          </w:p>
        </w:tc>
      </w:tr>
      <w:tr w:rsidR="008A483C" w14:paraId="07D54C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4B74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9941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is in the approval matrix for releasing the bank file?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0C9C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86C7" w14:textId="77777777" w:rsidR="008A483C" w:rsidRDefault="008A483C">
            <w:pPr>
              <w:jc w:val="center"/>
            </w:pPr>
          </w:p>
        </w:tc>
      </w:tr>
      <w:tr w:rsidR="008A483C" w14:paraId="70138A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93B1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B995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failed or returned payments handled and reconciled?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3929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Failed runs retried with audit trail (FR-M6-005).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9DEE" w14:textId="77777777" w:rsidR="008A483C" w:rsidRDefault="008A483C">
            <w:pPr>
              <w:jc w:val="center"/>
            </w:pPr>
          </w:p>
        </w:tc>
      </w:tr>
      <w:tr w:rsidR="008A483C" w14:paraId="642EE8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194D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7345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Do any populations still receive cash or cheque payments?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DECD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5C48" w14:textId="77777777" w:rsidR="008A483C" w:rsidRDefault="008A483C">
            <w:pPr>
              <w:jc w:val="center"/>
            </w:pPr>
          </w:p>
        </w:tc>
      </w:tr>
    </w:tbl>
    <w:p w14:paraId="76A05F34" w14:textId="77777777" w:rsidR="008A483C" w:rsidRDefault="00000000">
      <w:pPr>
        <w:pStyle w:val="Heading2"/>
        <w:spacing w:before="360"/>
      </w:pPr>
      <w:r>
        <w:t>6. GL &amp; Cost Accounting</w:t>
      </w:r>
    </w:p>
    <w:p w14:paraId="0171367F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chart of accounts, journal posting, and reconciliation.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557240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4920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4A29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DDBC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6324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72BC9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72A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C56B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Please share the chart of accounts mapping: wage types to GL accounts by entity.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9ECC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B46D" w14:textId="77777777" w:rsidR="008A483C" w:rsidRDefault="008A483C">
            <w:pPr>
              <w:jc w:val="center"/>
            </w:pPr>
          </w:p>
        </w:tc>
      </w:tr>
      <w:tr w:rsidR="008A483C" w14:paraId="30C6A3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D2BF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BD89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is payroll cost allocated across cost centers, projects, or departments?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E393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037BA" w14:textId="77777777" w:rsidR="008A483C" w:rsidRDefault="008A483C">
            <w:pPr>
              <w:jc w:val="center"/>
            </w:pPr>
          </w:p>
        </w:tc>
      </w:tr>
      <w:tr w:rsidR="008A483C" w14:paraId="3F187F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8F4D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693E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journal entry format expected by the ERP?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5B6C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074B" w14:textId="77777777" w:rsidR="008A483C" w:rsidRDefault="008A483C">
            <w:pPr>
              <w:jc w:val="center"/>
            </w:pPr>
          </w:p>
        </w:tc>
      </w:tr>
      <w:tr w:rsidR="008A483C" w14:paraId="3EFFAF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1D349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5E8D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Which ERP / GL system are we integrating with?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288D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A78C" w14:textId="77777777" w:rsidR="008A483C" w:rsidRDefault="008A483C">
            <w:pPr>
              <w:jc w:val="center"/>
            </w:pPr>
          </w:p>
        </w:tc>
      </w:tr>
      <w:tr w:rsidR="008A483C" w14:paraId="05D237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B543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5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BD89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How are accruals (EOSB, leave, bonus) calculated monthly?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DD59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A274" w14:textId="77777777" w:rsidR="008A483C" w:rsidRDefault="008A483C">
            <w:pPr>
              <w:jc w:val="center"/>
            </w:pPr>
          </w:p>
        </w:tc>
      </w:tr>
    </w:tbl>
    <w:p w14:paraId="6CA41640" w14:textId="77777777" w:rsidR="008A483C" w:rsidRDefault="00000000">
      <w:r>
        <w:br w:type="page"/>
      </w:r>
    </w:p>
    <w:p w14:paraId="6DF6790D" w14:textId="77777777" w:rsidR="008A483C" w:rsidRDefault="00000000">
      <w:pPr>
        <w:pStyle w:val="Heading2"/>
        <w:spacing w:before="360"/>
      </w:pPr>
      <w:r>
        <w:lastRenderedPageBreak/>
        <w:t>7. Payslip &amp; Employee-Facing</w:t>
      </w:r>
    </w:p>
    <w:p w14:paraId="238EE5D4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payslip format, language, and self-service.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26823D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C477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E9E3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8F72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C40F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00A2DC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A7CF8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2D28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Please share the current payslip template. What fields are mandatory?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2322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Payslips bilingual AR/EN with Praxion brand watermark (BR-M6-008). Bilingual PDF delivered via portal and email (FR-M6-005).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B3C2" w14:textId="77777777" w:rsidR="008A483C" w:rsidRDefault="008A483C">
            <w:pPr>
              <w:jc w:val="center"/>
            </w:pPr>
          </w:p>
        </w:tc>
      </w:tr>
      <w:tr w:rsidR="008A483C" w14:paraId="11B239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7E3EF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FE27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self-service should employees have (download payslips, tax certificates, loan statements)?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D13C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Payslip viewing on mobile (M11). Delivery SLA target: T+0 (from T+3 today).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9252" w14:textId="77777777" w:rsidR="008A483C" w:rsidRDefault="008A483C">
            <w:pPr>
              <w:jc w:val="center"/>
            </w:pPr>
          </w:p>
        </w:tc>
      </w:tr>
      <w:tr w:rsidR="008A483C" w14:paraId="1B5A7A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864F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7A91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communications must trigger when payroll is released?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B584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3C34" w14:textId="77777777" w:rsidR="008A483C" w:rsidRDefault="008A483C">
            <w:pPr>
              <w:jc w:val="center"/>
            </w:pPr>
          </w:p>
        </w:tc>
      </w:tr>
    </w:tbl>
    <w:p w14:paraId="7907F791" w14:textId="77777777" w:rsidR="008A483C" w:rsidRDefault="00000000">
      <w:pPr>
        <w:pStyle w:val="Heading2"/>
        <w:spacing w:before="360"/>
      </w:pPr>
      <w:r>
        <w:t>8. Controls, Audit &amp; Confidentiality</w:t>
      </w:r>
    </w:p>
    <w:p w14:paraId="41B16924" w14:textId="77777777" w:rsidR="008A483C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>Confirm approval matrix, audit requirements, and executive pay handling.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780"/>
        <w:gridCol w:w="3800"/>
        <w:gridCol w:w="1000"/>
      </w:tblGrid>
      <w:tr w:rsidR="008A483C" w14:paraId="33DDBB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6078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C5FF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786B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/ Pre-filled from BRD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14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5DDE" w14:textId="77777777" w:rsidR="008A483C" w:rsidRDefault="00000000">
            <w:r>
              <w:rPr>
                <w:b/>
                <w:bCs/>
                <w:color w:val="FFFFFF"/>
                <w:sz w:val="20"/>
                <w:szCs w:val="20"/>
              </w:rPr>
              <w:t>Confirm (Y/N)</w:t>
            </w:r>
          </w:p>
        </w:tc>
      </w:tr>
      <w:tr w:rsidR="008A483C" w14:paraId="31ABE8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03DE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3318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is the full approval matrix for a payroll run (prep &gt; review &gt; approve &gt; release)?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D238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Dual approval before lock (FR-M6-003). Configurable approval chains per tenant (FR-M6-004).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9884" w14:textId="77777777" w:rsidR="008A483C" w:rsidRDefault="008A483C">
            <w:pPr>
              <w:jc w:val="center"/>
            </w:pPr>
          </w:p>
        </w:tc>
      </w:tr>
      <w:tr w:rsidR="008A483C" w14:paraId="571126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58F1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E8BA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Who is authorized to view which salary data? Is there payroll-within-payroll for executive comp?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CC83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8620" w14:textId="77777777" w:rsidR="008A483C" w:rsidRDefault="008A483C">
            <w:pPr>
              <w:jc w:val="center"/>
            </w:pPr>
          </w:p>
        </w:tc>
      </w:tr>
      <w:tr w:rsidR="008A483C" w14:paraId="73E6CE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1B7F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C1E9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audit trail events must be logged, and what is the retention period?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DB44" w14:textId="77777777" w:rsidR="008A483C" w:rsidRDefault="00000000">
            <w:pPr>
              <w:spacing w:line="276" w:lineRule="auto"/>
            </w:pPr>
            <w:r>
              <w:rPr>
                <w:i/>
                <w:iCs/>
                <w:color w:val="2F6BFF"/>
                <w:sz w:val="20"/>
                <w:szCs w:val="20"/>
              </w:rPr>
              <w:t>7-year retention. Immutable audit log per platform standard.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8E73" w14:textId="77777777" w:rsidR="008A483C" w:rsidRDefault="008A483C">
            <w:pPr>
              <w:jc w:val="center"/>
            </w:pPr>
          </w:p>
        </w:tc>
      </w:tr>
      <w:tr w:rsidR="008A483C" w14:paraId="35DA9A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8230" w14:textId="77777777" w:rsidR="008A483C" w:rsidRDefault="00000000">
            <w:pPr>
              <w:jc w:val="center"/>
            </w:pPr>
            <w:r>
              <w:rPr>
                <w:b/>
                <w:bCs/>
                <w:color w:val="0B1437"/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7562" w14:textId="77777777" w:rsidR="008A483C" w:rsidRDefault="00000000">
            <w:pPr>
              <w:spacing w:line="276" w:lineRule="auto"/>
            </w:pPr>
            <w:r>
              <w:rPr>
                <w:color w:val="333333"/>
                <w:sz w:val="20"/>
                <w:szCs w:val="20"/>
              </w:rPr>
              <w:t>What evidence will Internal Audit, ISO, or SOC require from the payroll system?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F384" w14:textId="77777777" w:rsidR="008A483C" w:rsidRDefault="008A483C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CA4D" w14:textId="77777777" w:rsidR="008A483C" w:rsidRDefault="008A483C">
            <w:pPr>
              <w:jc w:val="center"/>
            </w:pPr>
          </w:p>
        </w:tc>
      </w:tr>
    </w:tbl>
    <w:p w14:paraId="1E54D9C3" w14:textId="77777777" w:rsidR="008A483C" w:rsidRDefault="00000000">
      <w:r>
        <w:br w:type="page"/>
      </w:r>
    </w:p>
    <w:p w14:paraId="3832DD0A" w14:textId="77777777" w:rsidR="008A483C" w:rsidRDefault="00000000">
      <w:pPr>
        <w:pStyle w:val="Heading2"/>
        <w:spacing w:before="360"/>
      </w:pPr>
      <w:r>
        <w:lastRenderedPageBreak/>
        <w:t>Sign-Off</w:t>
      </w:r>
    </w:p>
    <w:p w14:paraId="1256A240" w14:textId="77777777" w:rsidR="008A483C" w:rsidRDefault="00000000">
      <w:pPr>
        <w:spacing w:after="200"/>
      </w:pPr>
      <w:r>
        <w:rPr>
          <w:color w:val="333333"/>
          <w:sz w:val="20"/>
          <w:szCs w:val="20"/>
        </w:rPr>
        <w:t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A483C" w14:paraId="6CA2FF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2E05" w14:textId="77777777" w:rsidR="008A483C" w:rsidRDefault="00000000">
            <w:r>
              <w:rPr>
                <w:b/>
                <w:bCs/>
                <w:color w:val="0B1437"/>
                <w:sz w:val="20"/>
                <w:szCs w:val="20"/>
              </w:rPr>
              <w:t>Name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7C413534" w14:textId="77777777" w:rsidR="008A483C" w:rsidRDefault="008A483C"/>
        </w:tc>
      </w:tr>
      <w:tr w:rsidR="008A483C" w14:paraId="2C333F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1C73" w14:textId="77777777" w:rsidR="008A483C" w:rsidRDefault="00000000">
            <w:r>
              <w:rPr>
                <w:b/>
                <w:bCs/>
                <w:color w:val="0B1437"/>
                <w:sz w:val="20"/>
                <w:szCs w:val="20"/>
              </w:rPr>
              <w:t>Title / Role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44EF5240" w14:textId="77777777" w:rsidR="008A483C" w:rsidRDefault="008A483C"/>
        </w:tc>
      </w:tr>
      <w:tr w:rsidR="008A483C" w14:paraId="3D4A3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8BA8" w14:textId="77777777" w:rsidR="008A483C" w:rsidRDefault="00000000">
            <w:r>
              <w:rPr>
                <w:b/>
                <w:bCs/>
                <w:color w:val="0B1437"/>
                <w:sz w:val="20"/>
                <w:szCs w:val="20"/>
              </w:rPr>
              <w:t>Department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738480B3" w14:textId="77777777" w:rsidR="008A483C" w:rsidRDefault="008A483C"/>
        </w:tc>
      </w:tr>
      <w:tr w:rsidR="008A483C" w14:paraId="79AEB0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C195" w14:textId="77777777" w:rsidR="008A483C" w:rsidRDefault="00000000">
            <w:r>
              <w:rPr>
                <w:b/>
                <w:bCs/>
                <w:color w:val="0B1437"/>
                <w:sz w:val="20"/>
                <w:szCs w:val="20"/>
              </w:rPr>
              <w:t>Date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079852D7" w14:textId="77777777" w:rsidR="008A483C" w:rsidRDefault="008A483C"/>
        </w:tc>
      </w:tr>
      <w:tr w:rsidR="008A483C" w14:paraId="6CCBA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F01D" w14:textId="77777777" w:rsidR="008A483C" w:rsidRDefault="00000000">
            <w:r>
              <w:rPr>
                <w:b/>
                <w:bCs/>
                <w:color w:val="0B1437"/>
                <w:sz w:val="20"/>
                <w:szCs w:val="20"/>
              </w:rPr>
              <w:t>Signature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300" w:type="dxa"/>
              <w:right w:w="120" w:type="dxa"/>
            </w:tcMar>
          </w:tcPr>
          <w:p w14:paraId="3B6D57BC" w14:textId="77777777" w:rsidR="008A483C" w:rsidRDefault="008A483C"/>
        </w:tc>
      </w:tr>
    </w:tbl>
    <w:p w14:paraId="5AE8EDC6" w14:textId="77777777" w:rsidR="00E6001A" w:rsidRDefault="00E6001A"/>
    <w:sectPr w:rsidR="00E6001A">
      <w:headerReference w:type="default" r:id="rId7"/>
      <w:footerReference w:type="default" r:id="rId8"/>
      <w:pgSz w:w="12240" w:h="15840"/>
      <w:pgMar w:top="144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A45F" w14:textId="77777777" w:rsidR="00E6001A" w:rsidRDefault="00E6001A">
      <w:r>
        <w:separator/>
      </w:r>
    </w:p>
  </w:endnote>
  <w:endnote w:type="continuationSeparator" w:id="0">
    <w:p w14:paraId="7F236659" w14:textId="77777777" w:rsidR="00E6001A" w:rsidRDefault="00E60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104A" w14:textId="77777777" w:rsidR="008A483C" w:rsidRDefault="00000000">
    <w:pPr>
      <w:pBdr>
        <w:top w:val="single" w:sz="2" w:space="8" w:color="EEEEEE"/>
      </w:pBdr>
      <w:jc w:val="center"/>
    </w:pPr>
    <w:r>
      <w:rPr>
        <w:color w:val="666666"/>
        <w:sz w:val="16"/>
        <w:szCs w:val="16"/>
      </w:rPr>
      <w:t xml:space="preserve">Confidential  |  Egybell Internal + Approved Reviewers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82094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0B791" w14:textId="77777777" w:rsidR="00E6001A" w:rsidRDefault="00E6001A">
      <w:r>
        <w:separator/>
      </w:r>
    </w:p>
  </w:footnote>
  <w:footnote w:type="continuationSeparator" w:id="0">
    <w:p w14:paraId="4332E519" w14:textId="77777777" w:rsidR="00E6001A" w:rsidRDefault="00E60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AF4B" w14:textId="30752591" w:rsidR="008A483C" w:rsidRDefault="00482094">
    <w:pPr>
      <w:pBdr>
        <w:bottom w:val="single" w:sz="6" w:space="8" w:color="2F6BFF"/>
      </w:pBdr>
      <w:spacing w:after="100"/>
    </w:pPr>
    <w:r>
      <w:rPr>
        <w:noProof/>
        <w:color w:val="666666"/>
        <w:sz w:val="18"/>
        <w:szCs w:val="18"/>
      </w:rPr>
      <w:drawing>
        <wp:inline distT="0" distB="0" distL="0" distR="0" wp14:anchorId="192EFBDA" wp14:editId="21B31191">
          <wp:extent cx="1358148" cy="319596"/>
          <wp:effectExtent l="0" t="0" r="0" b="0"/>
          <wp:docPr id="96813697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136970" name="Graphic 96813697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889" cy="3273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color w:val="666666"/>
        <w:sz w:val="18"/>
        <w:szCs w:val="18"/>
      </w:rPr>
      <w:t>|  M6 Payroll &amp; Compensation  |  Discovery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198"/>
    <w:multiLevelType w:val="hybridMultilevel"/>
    <w:tmpl w:val="A8C6591A"/>
    <w:lvl w:ilvl="0" w:tplc="A6C20CF0">
      <w:start w:val="1"/>
      <w:numFmt w:val="bullet"/>
      <w:lvlText w:val="●"/>
      <w:lvlJc w:val="left"/>
      <w:pPr>
        <w:ind w:left="720" w:hanging="360"/>
      </w:pPr>
    </w:lvl>
    <w:lvl w:ilvl="1" w:tplc="D7708540">
      <w:start w:val="1"/>
      <w:numFmt w:val="bullet"/>
      <w:lvlText w:val="○"/>
      <w:lvlJc w:val="left"/>
      <w:pPr>
        <w:ind w:left="1440" w:hanging="360"/>
      </w:pPr>
    </w:lvl>
    <w:lvl w:ilvl="2" w:tplc="49A48442">
      <w:start w:val="1"/>
      <w:numFmt w:val="bullet"/>
      <w:lvlText w:val="■"/>
      <w:lvlJc w:val="left"/>
      <w:pPr>
        <w:ind w:left="2160" w:hanging="360"/>
      </w:pPr>
    </w:lvl>
    <w:lvl w:ilvl="3" w:tplc="5476B7E0">
      <w:start w:val="1"/>
      <w:numFmt w:val="bullet"/>
      <w:lvlText w:val="●"/>
      <w:lvlJc w:val="left"/>
      <w:pPr>
        <w:ind w:left="2880" w:hanging="360"/>
      </w:pPr>
    </w:lvl>
    <w:lvl w:ilvl="4" w:tplc="A9BAE330">
      <w:start w:val="1"/>
      <w:numFmt w:val="bullet"/>
      <w:lvlText w:val="○"/>
      <w:lvlJc w:val="left"/>
      <w:pPr>
        <w:ind w:left="3600" w:hanging="360"/>
      </w:pPr>
    </w:lvl>
    <w:lvl w:ilvl="5" w:tplc="3F04D53E">
      <w:start w:val="1"/>
      <w:numFmt w:val="bullet"/>
      <w:lvlText w:val="■"/>
      <w:lvlJc w:val="left"/>
      <w:pPr>
        <w:ind w:left="4320" w:hanging="360"/>
      </w:pPr>
    </w:lvl>
    <w:lvl w:ilvl="6" w:tplc="2F9E1830">
      <w:start w:val="1"/>
      <w:numFmt w:val="bullet"/>
      <w:lvlText w:val="●"/>
      <w:lvlJc w:val="left"/>
      <w:pPr>
        <w:ind w:left="5040" w:hanging="360"/>
      </w:pPr>
    </w:lvl>
    <w:lvl w:ilvl="7" w:tplc="622E1E0E">
      <w:start w:val="1"/>
      <w:numFmt w:val="bullet"/>
      <w:lvlText w:val="●"/>
      <w:lvlJc w:val="left"/>
      <w:pPr>
        <w:ind w:left="5760" w:hanging="360"/>
      </w:pPr>
    </w:lvl>
    <w:lvl w:ilvl="8" w:tplc="78B89778">
      <w:start w:val="1"/>
      <w:numFmt w:val="bullet"/>
      <w:lvlText w:val="●"/>
      <w:lvlJc w:val="left"/>
      <w:pPr>
        <w:ind w:left="6480" w:hanging="360"/>
      </w:pPr>
    </w:lvl>
  </w:abstractNum>
  <w:num w:numId="1" w16cid:durableId="303197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83C"/>
    <w:rsid w:val="00094FDD"/>
    <w:rsid w:val="00482094"/>
    <w:rsid w:val="008A483C"/>
    <w:rsid w:val="00E6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64E9F"/>
  <w15:docId w15:val="{B323547F-1C45-B54E-8E0C-014B98CD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A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B1437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200"/>
      <w:outlineLvl w:val="1"/>
    </w:pPr>
    <w:rPr>
      <w:b/>
      <w:bCs/>
      <w:color w:val="0B143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20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094"/>
  </w:style>
  <w:style w:type="paragraph" w:styleId="Footer">
    <w:name w:val="footer"/>
    <w:basedOn w:val="Normal"/>
    <w:link w:val="FooterChar"/>
    <w:uiPriority w:val="99"/>
    <w:unhideWhenUsed/>
    <w:rsid w:val="004820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929</Words>
  <Characters>5197</Characters>
  <Application>Microsoft Office Word</Application>
  <DocSecurity>0</DocSecurity>
  <Lines>306</Lines>
  <Paragraphs>158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Sabry</cp:lastModifiedBy>
  <cp:revision>2</cp:revision>
  <dcterms:created xsi:type="dcterms:W3CDTF">2026-04-16T06:35:00Z</dcterms:created>
  <dcterms:modified xsi:type="dcterms:W3CDTF">2026-04-16T09:23:00Z</dcterms:modified>
</cp:coreProperties>
</file>