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3A4A4"/>
          <w:spacing w:val="40"/>
          <w:sz w:val="18"/>
          <w:szCs w:val="18"/>
        </w:rPr>
        <w:t xml:space="preserve">PRAXION HROS  |  M9 — ANALYTICS</w:t>
      </w:r>
    </w:p>
    <w:p>
      <w:pPr>
        <w:spacing w:after="60" w:before="0"/>
      </w:pPr>
      <w:r>
        <w:rPr>
          <w:rFonts w:ascii="Arial" w:cs="Arial" w:eastAsia="Arial" w:hAnsi="Arial"/>
          <w:b/>
          <w:bCs/>
          <w:color w:val="0B2545"/>
          <w:sz w:val="36"/>
          <w:szCs w:val="36"/>
        </w:rPr>
        <w:t xml:space="preserve">Discovery Questionnaire — Analytics &amp; Reporting Workshop</w:t>
      </w:r>
    </w:p>
    <w:p>
      <w:pPr>
        <w:spacing w:after="240" w:before="0"/>
      </w:pPr>
      <w:r>
        <w:rPr>
          <w:rFonts w:ascii="Arial" w:cs="Arial" w:eastAsia="Arial" w:hAnsi="Arial"/>
          <w:i/>
          <w:iCs/>
          <w:color w:val="595959"/>
          <w:sz w:val="22"/>
          <w:szCs w:val="22"/>
        </w:rPr>
        <w:t xml:space="preserve">Prepared for the joint Praxion × Analytics &amp; Reporting discovery session</w:t>
      </w:r>
    </w:p>
    <w:p>
      <w:pPr>
        <w:pStyle w:val="Heading2"/>
        <w:spacing w:after="120" w:before="240"/>
      </w:pPr>
      <w:r>
        <w:rPr>
          <w:rFonts w:ascii="Arial" w:cs="Arial" w:eastAsia="Arial" w:hAnsi="Arial"/>
          <w:b/>
          <w:bCs/>
          <w:color w:val="13A4A4"/>
          <w:sz w:val="24"/>
          <w:szCs w:val="24"/>
        </w:rPr>
        <w:t xml:space="preserve">Purpose of this session</w:t>
      </w:r>
    </w:p>
    <w:p>
      <w:pPr>
        <w:spacing w:after="120" w:before="60"/>
      </w:pPr>
      <w:r>
        <w:rPr>
          <w:rFonts w:ascii="Arial" w:cs="Arial" w:eastAsia="Arial" w:hAnsi="Arial"/>
          <w:sz w:val="22"/>
          <w:szCs w:val="22"/>
        </w:rPr>
        <w:t xml:space="preserve">This session covers Module 9 (Analytics). The goal is to define the reports, dashboards, KPIs, and data flows the business needs from Praxion — and to draw a clear line between operational reporting (in each module) and strategic analytics (in M9).</w:t>
      </w:r>
    </w:p>
    <w:p>
      <w:pPr>
        <w:pStyle w:val="Heading2"/>
        <w:spacing w:after="120" w:before="240"/>
      </w:pPr>
      <w:r>
        <w:rPr>
          <w:rFonts w:ascii="Arial" w:cs="Arial" w:eastAsia="Arial" w:hAnsi="Arial"/>
          <w:b/>
          <w:bCs/>
          <w:color w:val="13A4A4"/>
          <w:sz w:val="24"/>
          <w:szCs w:val="24"/>
        </w:rPr>
        <w:t xml:space="preserve">How to use this document</w:t>
      </w:r>
    </w:p>
    <w:p>
      <w:pPr>
        <w:spacing w:after="120" w:before="60"/>
      </w:pPr>
      <w:r>
        <w:rPr>
          <w:rFonts w:ascii="Arial" w:cs="Arial" w:eastAsia="Arial" w:hAnsi="Arial"/>
          <w:sz w:val="22"/>
          <w:szCs w:val="22"/>
        </w:rPr>
        <w:t xml:space="preserve">Each section below contains a numbered set of questions with space for live notes. Where an answer is 'see attached', please reference the document name in the response cell so we can collect it after the meeting. Items marked as decisions will be confirmed in the meeting minutes and tracked on the Praxion RAID log.</w:t>
      </w:r>
    </w:p>
    <w:p>
      <w:pPr>
        <w:pStyle w:val="Heading2"/>
        <w:spacing w:after="120" w:before="240"/>
      </w:pPr>
      <w:r>
        <w:rPr>
          <w:rFonts w:ascii="Arial" w:cs="Arial" w:eastAsia="Arial" w:hAnsi="Arial"/>
          <w:b/>
          <w:bCs/>
          <w:color w:val="13A4A4"/>
          <w:sz w:val="24"/>
          <w:szCs w:val="24"/>
        </w:rPr>
        <w:t xml:space="preserve">Meeting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Meeting date</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Time / location</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Praxion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Stakeholder attendees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Facilitator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r>
        <w:tc>
          <w:tcPr>
            <w:tcW w:type="dxa" w:w="2520"/>
            <w:tcBorders>
              <w:top w:val="single" w:color="BFBFBF" w:sz="4"/>
              <w:left w:val="single" w:color="BFBFBF" w:sz="4"/>
              <w:bottom w:val="single" w:color="BFBFBF" w:sz="4"/>
              <w:right w:val="single" w:color="BFBFBF" w:sz="4"/>
            </w:tcBorders>
            <w:shd w:fill="EAF4F4" w:val="clear"/>
            <w:tcMar>
              <w:top w:type="dxa" w:w="100"/>
              <w:left w:type="dxa" w:w="140"/>
              <w:bottom w:type="dxa" w:w="100"/>
              <w:right w:type="dxa" w:w="140"/>
            </w:tcMar>
          </w:tcPr>
          <w:p>
            <w:r>
              <w:rPr>
                <w:rFonts w:ascii="Arial" w:cs="Arial" w:eastAsia="Arial" w:hAnsi="Arial"/>
                <w:b/>
                <w:bCs/>
                <w:color w:val="0B2545"/>
                <w:sz w:val="20"/>
                <w:szCs w:val="20"/>
              </w:rPr>
              <w:t xml:space="preserve">Note-taker</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t>
            </w:r>
          </w:p>
        </w:tc>
      </w:tr>
    </w:tbl>
    <w:p>
      <w:r>
        <w:br w:type="page"/>
      </w:r>
    </w:p>
    <w:p>
      <w:pPr>
        <w:pStyle w:val="Heading1"/>
        <w:spacing w:after="160" w:before="360"/>
      </w:pPr>
      <w:r>
        <w:rPr>
          <w:rFonts w:ascii="Arial" w:cs="Arial" w:eastAsia="Arial" w:hAnsi="Arial"/>
          <w:b/>
          <w:bCs/>
          <w:color w:val="0B2545"/>
          <w:sz w:val="30"/>
          <w:szCs w:val="30"/>
        </w:rPr>
        <w:t xml:space="preserve">1. Audiences &amp; Personas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audiences need analytics: executive, HRBP, line manager, employee, client, auditor?</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appetite for self-service analytics vs. curated dashboards by persona?</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Are there literacy gaps that should shape how dashboards are designed?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2. KPIs &amp;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top 10 HR KPIs the business wants to see at go-live?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is each KPI defined today, and where do disagreements on definitions exist?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benchmarks (internal trends, industry, regional) should each KPI compare against?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KPIs feed executive scorecards, and at what cadence?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3. Standard Dashboards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dashboards exist today, who owns them, and what would you keep vs. replace?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are the must-have dashboards for go-live by audience?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filters, drill-paths, and exports are expected?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4. Regulatory &amp; External Reporting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regulatory reports must be generated (MOMP, NOSI, ETA, sector regulators)?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format, frequency, and submission channel for each?</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currently owns each report, and where is the bottleneck?</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5. Predictive &amp; Advanced Analytics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predictive use cases are most valued: attrition risk, hiring forecast, training ROI, comp parity?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Is there an existing data science capability we should partner with?</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policy on AI / ML use over employee data under the PDPL?</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6. Data Sources &amp;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Which non-Praxion sources must feed analytics: ERP, T&amp;A, engagement surveys, CRM, financials?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data warehouse or lakehouse is in place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preferred BI tool (Power BI, Tableau, Looker, Qlik)?</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refresh cadence is required for each data source?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7. Data Quality &amp; Governance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Who owns data definitions and the metric dictionary?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data quality issues plague reporting today?</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governance forum reviews changes to KPI definitions?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8. Confidentiality &amp; Access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should sensitive analytics (compensation, disciplinary, demographic) be access-controlled?</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anonymization or aggregation thresholds apply for small populations?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Should the system log analytics queries and exports for audit?</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before="240"/>
      </w:pPr>
      <w:r>
        <w:t xml:space="preserve"/>
      </w:r>
    </w:p>
    <w:p>
      <w:pPr>
        <w:pStyle w:val="Heading1"/>
        <w:spacing w:after="160" w:before="360"/>
      </w:pPr>
      <w:r>
        <w:rPr>
          <w:rFonts w:ascii="Arial" w:cs="Arial" w:eastAsia="Arial" w:hAnsi="Arial"/>
          <w:b/>
          <w:bCs/>
          <w:color w:val="0B2545"/>
          <w:sz w:val="30"/>
          <w:szCs w:val="30"/>
        </w:rPr>
        <w:t xml:space="preserve">9. Historical Data &amp; Migration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468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Response / Notes</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How many years of historical data must be migrated for trend analysis?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From which legacy systems, and in what shape?</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What is the strategy for reconciling legacy definitions to new ones?</w:t>
            </w:r>
          </w:p>
        </w:tc>
        <w:tc>
          <w:tcPr>
            <w:tcW w:type="dxa" w:w="468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r>
        <w:br w:type="page"/>
      </w:r>
    </w:p>
    <w:p>
      <w:pPr>
        <w:pStyle w:val="Heading1"/>
        <w:spacing w:after="160" w:before="360"/>
      </w:pPr>
      <w:r>
        <w:rPr>
          <w:rFonts w:ascii="Arial" w:cs="Arial" w:eastAsia="Arial" w:hAnsi="Arial"/>
          <w:b/>
          <w:bCs/>
          <w:color w:val="0B2545"/>
          <w:sz w:val="30"/>
          <w:szCs w:val="30"/>
        </w:rPr>
        <w:t xml:space="preserve">Follow-ups &amp; sign-off</w:t>
      </w:r>
    </w:p>
    <w:p>
      <w:pPr>
        <w:spacing w:after="120" w:before="60"/>
      </w:pPr>
      <w:r>
        <w:rPr>
          <w:rFonts w:ascii="Arial" w:cs="Arial" w:eastAsia="Arial" w:hAnsi="Arial"/>
          <w:sz w:val="22"/>
          <w:szCs w:val="22"/>
        </w:rPr>
        <w:t xml:space="preserve">Please list any items that require further investigation, the owner, and the target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2160"/>
      </w:tblGrid>
      <w:tr>
        <w:trPr>
          <w:tblHeader/>
        </w:trPr>
        <w:tc>
          <w:tcPr>
            <w:tcW w:type="dxa" w:w="72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04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Open item</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160"/>
            <w:tcBorders>
              <w:top w:val="single" w:color="BFBFBF" w:sz="4"/>
              <w:left w:val="single" w:color="BFBFBF" w:sz="4"/>
              <w:bottom w:val="single" w:color="BFBFBF" w:sz="4"/>
              <w:right w:val="single" w:color="BFBFBF"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Due date</w:t>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1</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2</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3</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4</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5</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6</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7</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r>
        <w:tc>
          <w:tcPr>
            <w:tcW w:type="dxa" w:w="720"/>
            <w:tcBorders>
              <w:top w:val="single" w:color="BFBFBF" w:sz="4"/>
              <w:left w:val="single" w:color="BFBFBF" w:sz="4"/>
              <w:bottom w:val="single" w:color="BFBFBF" w:sz="4"/>
              <w:right w:val="single" w:color="BFBFBF" w:sz="4"/>
            </w:tcBorders>
            <w:shd w:fill="EAF4F4" w:val="clear"/>
            <w:tcMar>
              <w:top w:type="dxa" w:w="120"/>
              <w:left w:type="dxa" w:w="140"/>
              <w:bottom w:type="dxa" w:w="120"/>
              <w:right w:type="dxa" w:w="140"/>
            </w:tcMar>
          </w:tcPr>
          <w:p>
            <w:r>
              <w:rPr>
                <w:rFonts w:ascii="Arial" w:cs="Arial" w:eastAsia="Arial" w:hAnsi="Arial"/>
                <w:sz w:val="20"/>
                <w:szCs w:val="20"/>
              </w:rPr>
              <w:t xml:space="preserve">8</w:t>
            </w:r>
          </w:p>
        </w:tc>
        <w:tc>
          <w:tcPr>
            <w:tcW w:type="dxa" w:w="504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c>
          <w:tcPr>
            <w:tcW w:type="dxa" w:w="216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sz w:val="20"/>
                <w:szCs w:val="20"/>
              </w:rPr>
              <w:t xml:space="preserve"/>
            </w:r>
          </w:p>
        </w:tc>
      </w:tr>
    </w:tbl>
    <w:p>
      <w:pPr>
        <w:spacing w:after="60" w:before="360"/>
      </w:pPr>
      <w:r>
        <w:rPr>
          <w:rFonts w:ascii="Arial" w:cs="Arial" w:eastAsia="Arial" w:hAnsi="Arial"/>
          <w:b/>
          <w:bCs/>
          <w:color w:val="0B2545"/>
          <w:sz w:val="24"/>
          <w:szCs w:val="24"/>
        </w:rPr>
        <w:t xml:space="preserve">Sign-off</w:t>
      </w:r>
    </w:p>
    <w:p>
      <w:pPr>
        <w:spacing w:before="200"/>
      </w:pPr>
      <w:r>
        <w:rPr>
          <w:rFonts w:ascii="Arial" w:cs="Arial" w:eastAsia="Arial" w:hAnsi="Arial"/>
          <w:sz w:val="22"/>
          <w:szCs w:val="22"/>
        </w:rPr>
        <w:t xml:space="preserve">Analytics &amp; Reporting lead:  ____________________________     Date: ____________</w:t>
      </w:r>
    </w:p>
    <w:p>
      <w:pPr>
        <w:spacing w:before="200"/>
      </w:pPr>
      <w:r>
        <w:rPr>
          <w:rFonts w:ascii="Arial" w:cs="Arial" w:eastAsia="Arial" w:hAnsi="Arial"/>
          <w:sz w:val="22"/>
          <w:szCs w:val="22"/>
        </w:rPr>
        <w:t xml:space="preserve">Praxion module owner:  ____________________________     Date: 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Confidential — Praxion / Egybell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95959"/>
        <w:sz w:val="18"/>
        <w:szCs w:val="18"/>
      </w:rPr>
      <w:t xml:space="preserve">Praxion HROS  |  M9 — Analytics  |  Analytics &amp; Reporting Discovery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3A4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&amp; Reporting Discovery Questionnaire</dc:title>
  <dc:creator>Praxion HROS — Analytics &amp; Reporting Discovery</dc:creator>
  <cp:lastModifiedBy>Un-named</cp:lastModifiedBy>
  <cp:revision>1</cp:revision>
  <dcterms:created xsi:type="dcterms:W3CDTF">2026-04-14T09:22:42.442Z</dcterms:created>
  <dcterms:modified xsi:type="dcterms:W3CDTF">2026-04-14T09:22:42.442Z</dcterms:modified>
</cp:coreProperties>
</file>

<file path=docProps/custom.xml><?xml version="1.0" encoding="utf-8"?>
<Properties xmlns="http://schemas.openxmlformats.org/officeDocument/2006/custom-properties" xmlns:vt="http://schemas.openxmlformats.org/officeDocument/2006/docPropsVTypes"/>
</file>