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3A4A4"/>
          <w:spacing w:val="40"/>
          <w:sz w:val="18"/>
          <w:szCs w:val="18"/>
        </w:rPr>
        <w:t xml:space="preserve">PRAXION HROS  |  M10 + ARCHITECTURE + SECURITY</w:t>
      </w:r>
    </w:p>
    <w:p>
      <w:pPr>
        <w:spacing w:after="60" w:before="0"/>
      </w:pPr>
      <w:r>
        <w:rPr>
          <w:rFonts w:ascii="Arial" w:cs="Arial" w:eastAsia="Arial" w:hAnsi="Arial"/>
          <w:b/>
          <w:bCs/>
          <w:color w:val="0B2545"/>
          <w:sz w:val="36"/>
          <w:szCs w:val="36"/>
        </w:rPr>
        <w:t xml:space="preserve">Discovery Questionnaire — IT, Security &amp; Architecture Workshop</w:t>
      </w:r>
    </w:p>
    <w:p>
      <w:pPr>
        <w:spacing w:after="240" w:before="0"/>
      </w:pPr>
      <w:r>
        <w:rPr>
          <w:rFonts w:ascii="Arial" w:cs="Arial" w:eastAsia="Arial" w:hAnsi="Arial"/>
          <w:i/>
          <w:iCs/>
          <w:color w:val="595959"/>
          <w:sz w:val="22"/>
          <w:szCs w:val="22"/>
        </w:rPr>
        <w:t xml:space="preserve">Prepared for the joint Praxion × IT, Security &amp; Architecture discovery session</w:t>
      </w:r>
    </w:p>
    <w:p>
      <w:pPr>
        <w:pStyle w:val="Heading2"/>
        <w:spacing w:after="120" w:before="240"/>
      </w:pPr>
      <w:r>
        <w:rPr>
          <w:rFonts w:ascii="Arial" w:cs="Arial" w:eastAsia="Arial" w:hAnsi="Arial"/>
          <w:b/>
          <w:bCs/>
          <w:color w:val="13A4A4"/>
          <w:sz w:val="24"/>
          <w:szCs w:val="24"/>
        </w:rPr>
        <w:t xml:space="preserve">Purpose of this session</w:t>
      </w:r>
    </w:p>
    <w:p>
      <w:pPr>
        <w:spacing w:after="120" w:before="60"/>
      </w:pPr>
      <w:r>
        <w:rPr>
          <w:rFonts w:ascii="Arial" w:cs="Arial" w:eastAsia="Arial" w:hAnsi="Arial"/>
          <w:sz w:val="22"/>
          <w:szCs w:val="22"/>
        </w:rPr>
        <w:t xml:space="preserve">This session covers the IT, security, and architecture decisions that underpin every Praxion module. The goal is to confirm hosting, identity, integration, and security controls before design freeze, so build does not stall waiting on infra answers.</w:t>
      </w:r>
    </w:p>
    <w:p>
      <w:pPr>
        <w:pStyle w:val="Heading2"/>
        <w:spacing w:after="120" w:before="240"/>
      </w:pPr>
      <w:r>
        <w:rPr>
          <w:rFonts w:ascii="Arial" w:cs="Arial" w:eastAsia="Arial" w:hAnsi="Arial"/>
          <w:b/>
          <w:bCs/>
          <w:color w:val="13A4A4"/>
          <w:sz w:val="24"/>
          <w:szCs w:val="24"/>
        </w:rPr>
        <w:t xml:space="preserve">How to use this document</w:t>
      </w:r>
    </w:p>
    <w:p>
      <w:pPr>
        <w:spacing w:after="120" w:before="60"/>
      </w:pPr>
      <w:r>
        <w:rPr>
          <w:rFonts w:ascii="Arial" w:cs="Arial" w:eastAsia="Arial" w:hAnsi="Arial"/>
          <w:sz w:val="22"/>
          <w:szCs w:val="22"/>
        </w:rPr>
        <w:t xml:space="preserve">Each section below contains a numbered set of questions with space for live notes. Where an answer is 'see attached', please reference the document name in the response cell so we can collect it after the meeting. Items marked as decisions will be confirmed in the meeting minutes and tracked on the Praxion RAID log.</w:t>
      </w:r>
    </w:p>
    <w:p>
      <w:pPr>
        <w:pStyle w:val="Heading2"/>
        <w:spacing w:after="120" w:before="240"/>
      </w:pPr>
      <w:r>
        <w:rPr>
          <w:rFonts w:ascii="Arial" w:cs="Arial" w:eastAsia="Arial" w:hAnsi="Arial"/>
          <w:b/>
          <w:bCs/>
          <w:color w:val="13A4A4"/>
          <w:sz w:val="24"/>
          <w:szCs w:val="24"/>
        </w:rPr>
        <w:t xml:space="preserve">Meeting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Meeting date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Time / location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Praxion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Stakeholder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Facilitator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Note-taker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bl>
    <w:p>
      <w:r>
        <w:br w:type="page"/>
      </w:r>
    </w:p>
    <w:p>
      <w:pPr>
        <w:pStyle w:val="Heading1"/>
        <w:spacing w:after="160" w:before="360"/>
      </w:pPr>
      <w:r>
        <w:rPr>
          <w:rFonts w:ascii="Arial" w:cs="Arial" w:eastAsia="Arial" w:hAnsi="Arial"/>
          <w:b/>
          <w:bCs/>
          <w:color w:val="0B2545"/>
          <w:sz w:val="30"/>
          <w:szCs w:val="30"/>
        </w:rPr>
        <w:t xml:space="preserve">1. Hosting &amp; Data Residency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preferred hosting model: SaaS, private cloud, on-premise?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cloud provider and region are approved? Is data residency in Egypt required?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specific certifications the provider must hold (ISO 27001, SOC 2, PCI)?</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backup, DR, RTO, and RPO targets must Praxion meet?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2. Identity &amp; Access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identity source of truth: AD, Azure AD, Google Workspace, other?</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SSO protocol is in use (SAML 2.0, OIDC)?</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MFA mandatory for all users or only privileged ones?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joiners, movers, and leavers provisioned across systems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password policy and session timeout standard?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3. Network &amp; Endpoint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network restrictions: VPN-only access, IP allowlisting, zero-trust gateway?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endpoint protection is required for devices accessing HROS data?</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BYOD permitted? If so, with what controls?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MDM solution governs the M11 mobile app?</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4. Encryption &amp; Data Protection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encryption standards must apply at rest and in transit?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customer-managed keys (BYOK) required for any data category?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data classification scheme, and which fields are 'sensitive'?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is sensitive data masked in non-production environments?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5. Logging, Monitoring &amp;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audit events must be logged, and for how long must logs be retained?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there a SIEM that must receive HROS logs, and in what format?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reviews audit logs and at what cadence?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anomaly detection or UEBA capabilities are expected?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6. Vulnerability &amp; Change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vulnerability scanning and pen testing cadence is required pre- and post-go-live?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patch SLA by severity?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change management process governs production releases?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an external penetration test required before go-live?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7. Integration Landscape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systems must Praxion integrate with: ERP, T&amp;A, e-mail, ticketing, e-signature, e-invoicing, banking?</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integration patterns are preferred: REST API, SFTP, message bus, iPaaS?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there an existing iPaaS (MuleSoft, Boomi, Workato) we must use?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API standards and authentication methods must be supported?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data volumes and frequencies should we plan for?</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8. Incident Response &amp; BCP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incident response process, and where does the HROS vendor sit in it?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incident notification SLA must the vendor meet?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business continuity tests are expected, and how often?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9. Compliance Frameworks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compliance frameworks govern Praxion: ISO 27001, SOC 2, NIST, Egyptian PDPL?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evidence and reporting must the system produce for auditors?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sectoral regulators (CBE, FRA) whose rules we must encode?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r>
        <w:br w:type="page"/>
      </w:r>
    </w:p>
    <w:p>
      <w:pPr>
        <w:pStyle w:val="Heading1"/>
        <w:spacing w:after="160" w:before="360"/>
      </w:pPr>
      <w:r>
        <w:rPr>
          <w:rFonts w:ascii="Arial" w:cs="Arial" w:eastAsia="Arial" w:hAnsi="Arial"/>
          <w:b/>
          <w:bCs/>
          <w:color w:val="0B2545"/>
          <w:sz w:val="30"/>
          <w:szCs w:val="30"/>
        </w:rPr>
        <w:t xml:space="preserve">Follow-ups &amp; sign-off</w:t>
      </w:r>
    </w:p>
    <w:p>
      <w:pPr>
        <w:spacing w:after="120" w:before="60"/>
      </w:pPr>
      <w:r>
        <w:rPr>
          <w:rFonts w:ascii="Arial" w:cs="Arial" w:eastAsia="Arial" w:hAnsi="Arial"/>
          <w:sz w:val="22"/>
          <w:szCs w:val="22"/>
        </w:rPr>
        <w:t xml:space="preserve">Please list any items that require further investigation, the owner, and the target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216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Open item</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after="60" w:before="360"/>
      </w:pPr>
      <w:r>
        <w:rPr>
          <w:rFonts w:ascii="Arial" w:cs="Arial" w:eastAsia="Arial" w:hAnsi="Arial"/>
          <w:b/>
          <w:bCs/>
          <w:color w:val="0B2545"/>
          <w:sz w:val="24"/>
          <w:szCs w:val="24"/>
        </w:rPr>
        <w:t xml:space="preserve">Sign-off</w:t>
      </w:r>
    </w:p>
    <w:p>
      <w:pPr>
        <w:spacing w:before="200"/>
      </w:pPr>
      <w:r>
        <w:rPr>
          <w:rFonts w:ascii="Arial" w:cs="Arial" w:eastAsia="Arial" w:hAnsi="Arial"/>
          <w:sz w:val="22"/>
          <w:szCs w:val="22"/>
        </w:rPr>
        <w:t xml:space="preserve">IT, Security &amp; Architecture lead:  ____________________________     Date: ____________</w:t>
      </w:r>
    </w:p>
    <w:p>
      <w:pPr>
        <w:spacing w:before="200"/>
      </w:pPr>
      <w:r>
        <w:rPr>
          <w:rFonts w:ascii="Arial" w:cs="Arial" w:eastAsia="Arial" w:hAnsi="Arial"/>
          <w:sz w:val="22"/>
          <w:szCs w:val="22"/>
        </w:rPr>
        <w:t xml:space="preserve">Praxion module owner:  ____________________________     Date: 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Praxion / Egybell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Praxion HROS  |  M10 + Architecture + Security  |  IT, Security &amp; Architecture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3A4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Security &amp; Architecture Discovery Questionnaire</dc:title>
  <dc:creator>Praxion HROS — IT, Security &amp; Architecture Discovery</dc:creator>
  <cp:lastModifiedBy>Un-named</cp:lastModifiedBy>
  <cp:revision>1</cp:revision>
  <dcterms:created xsi:type="dcterms:W3CDTF">2026-04-14T09:22:42.405Z</dcterms:created>
  <dcterms:modified xsi:type="dcterms:W3CDTF">2026-04-14T09:22:42.405Z</dcterms:modified>
</cp:coreProperties>
</file>

<file path=docProps/custom.xml><?xml version="1.0" encoding="utf-8"?>
<Properties xmlns="http://schemas.openxmlformats.org/officeDocument/2006/custom-properties" xmlns:vt="http://schemas.openxmlformats.org/officeDocument/2006/docPropsVTypes"/>
</file>