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3A4A4"/>
          <w:spacing w:val="40"/>
          <w:sz w:val="18"/>
          <w:szCs w:val="18"/>
        </w:rPr>
        <w:t xml:space="preserve">PRAXION HROS  |  M1, M3, M6, M8, M10</w:t>
      </w:r>
    </w:p>
    <w:p>
      <w:pPr>
        <w:spacing w:after="60" w:before="0"/>
      </w:pPr>
      <w:r>
        <w:rPr>
          <w:rFonts w:ascii="Arial" w:cs="Arial" w:eastAsia="Arial" w:hAnsi="Arial"/>
          <w:b/>
          <w:bCs/>
          <w:color w:val="0B2545"/>
          <w:sz w:val="36"/>
          <w:szCs w:val="36"/>
        </w:rPr>
        <w:t xml:space="preserve">Discovery Questionnaire — Legal &amp; Compliance Workshop</w:t>
      </w:r>
    </w:p>
    <w:p>
      <w:pPr>
        <w:spacing w:after="240" w:before="0"/>
      </w:pPr>
      <w:r>
        <w:rPr>
          <w:rFonts w:ascii="Arial" w:cs="Arial" w:eastAsia="Arial" w:hAnsi="Arial"/>
          <w:i/>
          <w:iCs/>
          <w:color w:val="595959"/>
          <w:sz w:val="22"/>
          <w:szCs w:val="22"/>
        </w:rPr>
        <w:t xml:space="preserve">Prepared for the joint Praxion × Legal &amp; Compliance discovery session</w:t>
      </w:r>
    </w:p>
    <w:p>
      <w:pPr>
        <w:pStyle w:val="Heading2"/>
        <w:spacing w:after="120" w:before="240"/>
      </w:pPr>
      <w:r>
        <w:rPr>
          <w:rFonts w:ascii="Arial" w:cs="Arial" w:eastAsia="Arial" w:hAnsi="Arial"/>
          <w:b/>
          <w:bCs/>
          <w:color w:val="13A4A4"/>
          <w:sz w:val="24"/>
          <w:szCs w:val="24"/>
        </w:rPr>
        <w:t xml:space="preserve">Purpose of this session</w:t>
      </w:r>
    </w:p>
    <w:p>
      <w:pPr>
        <w:spacing w:after="120" w:before="60"/>
      </w:pPr>
      <w:r>
        <w:rPr>
          <w:rFonts w:ascii="Arial" w:cs="Arial" w:eastAsia="Arial" w:hAnsi="Arial"/>
          <w:sz w:val="22"/>
          <w:szCs w:val="22"/>
        </w:rPr>
        <w:t xml:space="preserve">This session captures the open legal, regulatory, and data-protection questions that affect every Praxion HROS module. The goal is to confirm what Egyptian labor law, data protection law, and internal legal policy require Praxion to enforce — and to identify any documents, templates, or sign-off rules we must build into the system before go-live.</w:t>
      </w:r>
    </w:p>
    <w:p>
      <w:pPr>
        <w:pStyle w:val="Heading2"/>
        <w:spacing w:after="120" w:before="240"/>
      </w:pPr>
      <w:r>
        <w:rPr>
          <w:rFonts w:ascii="Arial" w:cs="Arial" w:eastAsia="Arial" w:hAnsi="Arial"/>
          <w:b/>
          <w:bCs/>
          <w:color w:val="13A4A4"/>
          <w:sz w:val="24"/>
          <w:szCs w:val="24"/>
        </w:rPr>
        <w:t xml:space="preserve">How to use this document</w:t>
      </w:r>
    </w:p>
    <w:p>
      <w:pPr>
        <w:spacing w:after="120" w:before="60"/>
      </w:pPr>
      <w:r>
        <w:rPr>
          <w:rFonts w:ascii="Arial" w:cs="Arial" w:eastAsia="Arial" w:hAnsi="Arial"/>
          <w:sz w:val="22"/>
          <w:szCs w:val="22"/>
        </w:rPr>
        <w:t xml:space="preserve">Each section below contains a numbered set of questions with space for live notes. Where an answer is 'see attached', please reference the document name in the response cell so we can collect it after the meeting. Items marked as decisions will be confirmed in the meeting minutes and tracked on the Praxion RAID log.</w:t>
      </w:r>
    </w:p>
    <w:p>
      <w:pPr>
        <w:pStyle w:val="Heading2"/>
        <w:spacing w:after="120" w:before="240"/>
      </w:pPr>
      <w:r>
        <w:rPr>
          <w:rFonts w:ascii="Arial" w:cs="Arial" w:eastAsia="Arial" w:hAnsi="Arial"/>
          <w:b/>
          <w:bCs/>
          <w:color w:val="13A4A4"/>
          <w:sz w:val="24"/>
          <w:szCs w:val="24"/>
        </w:rPr>
        <w:t xml:space="preserve">Meeting details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7560"/>
      </w:tblGrid>
      <w:tr>
        <w:tc>
          <w:tcPr>
            <w:tcW w:type="dxa" w:w="2520"/>
            <w:tcBorders>
              <w:top w:val="single" w:color="BFBFBF" w:sz="4"/>
              <w:left w:val="single" w:color="BFBFBF" w:sz="4"/>
              <w:bottom w:val="single" w:color="BFBFBF" w:sz="4"/>
              <w:right w:val="single" w:color="BFBFBF" w:sz="4"/>
            </w:tcBorders>
            <w:shd w:fill="EAF4F4" w:val="clear"/>
            <w:tcMar>
              <w:top w:type="dxa" w:w="100"/>
              <w:left w:type="dxa" w:w="140"/>
              <w:bottom w:type="dxa" w:w="100"/>
              <w:right w:type="dxa" w:w="140"/>
            </w:tcMar>
          </w:tcPr>
          <w:p>
            <w:r>
              <w:rPr>
                <w:rFonts w:ascii="Arial" w:cs="Arial" w:eastAsia="Arial" w:hAnsi="Arial"/>
                <w:b/>
                <w:bCs/>
                <w:color w:val="0B2545"/>
                <w:sz w:val="20"/>
                <w:szCs w:val="20"/>
              </w:rPr>
              <w:t xml:space="preserve">Meeting date</w:t>
            </w:r>
          </w:p>
        </w:tc>
        <w:tc>
          <w:tcPr>
            <w:tcW w:type="dxa" w:w="7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 </w:t>
            </w:r>
          </w:p>
        </w:tc>
      </w:tr>
      <w:tr>
        <w:tc>
          <w:tcPr>
            <w:tcW w:type="dxa" w:w="2520"/>
            <w:tcBorders>
              <w:top w:val="single" w:color="BFBFBF" w:sz="4"/>
              <w:left w:val="single" w:color="BFBFBF" w:sz="4"/>
              <w:bottom w:val="single" w:color="BFBFBF" w:sz="4"/>
              <w:right w:val="single" w:color="BFBFBF" w:sz="4"/>
            </w:tcBorders>
            <w:shd w:fill="EAF4F4" w:val="clear"/>
            <w:tcMar>
              <w:top w:type="dxa" w:w="100"/>
              <w:left w:type="dxa" w:w="140"/>
              <w:bottom w:type="dxa" w:w="100"/>
              <w:right w:type="dxa" w:w="140"/>
            </w:tcMar>
          </w:tcPr>
          <w:p>
            <w:r>
              <w:rPr>
                <w:rFonts w:ascii="Arial" w:cs="Arial" w:eastAsia="Arial" w:hAnsi="Arial"/>
                <w:b/>
                <w:bCs/>
                <w:color w:val="0B2545"/>
                <w:sz w:val="20"/>
                <w:szCs w:val="20"/>
              </w:rPr>
              <w:t xml:space="preserve">Time / location</w:t>
            </w:r>
          </w:p>
        </w:tc>
        <w:tc>
          <w:tcPr>
            <w:tcW w:type="dxa" w:w="7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 </w:t>
            </w:r>
          </w:p>
        </w:tc>
      </w:tr>
      <w:tr>
        <w:tc>
          <w:tcPr>
            <w:tcW w:type="dxa" w:w="2520"/>
            <w:tcBorders>
              <w:top w:val="single" w:color="BFBFBF" w:sz="4"/>
              <w:left w:val="single" w:color="BFBFBF" w:sz="4"/>
              <w:bottom w:val="single" w:color="BFBFBF" w:sz="4"/>
              <w:right w:val="single" w:color="BFBFBF" w:sz="4"/>
            </w:tcBorders>
            <w:shd w:fill="EAF4F4" w:val="clear"/>
            <w:tcMar>
              <w:top w:type="dxa" w:w="100"/>
              <w:left w:type="dxa" w:w="140"/>
              <w:bottom w:type="dxa" w:w="100"/>
              <w:right w:type="dxa" w:w="140"/>
            </w:tcMar>
          </w:tcPr>
          <w:p>
            <w:r>
              <w:rPr>
                <w:rFonts w:ascii="Arial" w:cs="Arial" w:eastAsia="Arial" w:hAnsi="Arial"/>
                <w:b/>
                <w:bCs/>
                <w:color w:val="0B2545"/>
                <w:sz w:val="20"/>
                <w:szCs w:val="20"/>
              </w:rPr>
              <w:t xml:space="preserve">Praxion attendees</w:t>
            </w:r>
          </w:p>
        </w:tc>
        <w:tc>
          <w:tcPr>
            <w:tcW w:type="dxa" w:w="7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 </w:t>
            </w:r>
          </w:p>
        </w:tc>
      </w:tr>
      <w:tr>
        <w:tc>
          <w:tcPr>
            <w:tcW w:type="dxa" w:w="2520"/>
            <w:tcBorders>
              <w:top w:val="single" w:color="BFBFBF" w:sz="4"/>
              <w:left w:val="single" w:color="BFBFBF" w:sz="4"/>
              <w:bottom w:val="single" w:color="BFBFBF" w:sz="4"/>
              <w:right w:val="single" w:color="BFBFBF" w:sz="4"/>
            </w:tcBorders>
            <w:shd w:fill="EAF4F4" w:val="clear"/>
            <w:tcMar>
              <w:top w:type="dxa" w:w="100"/>
              <w:left w:type="dxa" w:w="140"/>
              <w:bottom w:type="dxa" w:w="100"/>
              <w:right w:type="dxa" w:w="140"/>
            </w:tcMar>
          </w:tcPr>
          <w:p>
            <w:r>
              <w:rPr>
                <w:rFonts w:ascii="Arial" w:cs="Arial" w:eastAsia="Arial" w:hAnsi="Arial"/>
                <w:b/>
                <w:bCs/>
                <w:color w:val="0B2545"/>
                <w:sz w:val="20"/>
                <w:szCs w:val="20"/>
              </w:rPr>
              <w:t xml:space="preserve">Stakeholder attendees</w:t>
            </w:r>
          </w:p>
        </w:tc>
        <w:tc>
          <w:tcPr>
            <w:tcW w:type="dxa" w:w="7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 </w:t>
            </w:r>
          </w:p>
        </w:tc>
      </w:tr>
      <w:tr>
        <w:tc>
          <w:tcPr>
            <w:tcW w:type="dxa" w:w="2520"/>
            <w:tcBorders>
              <w:top w:val="single" w:color="BFBFBF" w:sz="4"/>
              <w:left w:val="single" w:color="BFBFBF" w:sz="4"/>
              <w:bottom w:val="single" w:color="BFBFBF" w:sz="4"/>
              <w:right w:val="single" w:color="BFBFBF" w:sz="4"/>
            </w:tcBorders>
            <w:shd w:fill="EAF4F4" w:val="clear"/>
            <w:tcMar>
              <w:top w:type="dxa" w:w="100"/>
              <w:left w:type="dxa" w:w="140"/>
              <w:bottom w:type="dxa" w:w="100"/>
              <w:right w:type="dxa" w:w="140"/>
            </w:tcMar>
          </w:tcPr>
          <w:p>
            <w:r>
              <w:rPr>
                <w:rFonts w:ascii="Arial" w:cs="Arial" w:eastAsia="Arial" w:hAnsi="Arial"/>
                <w:b/>
                <w:bCs/>
                <w:color w:val="0B2545"/>
                <w:sz w:val="20"/>
                <w:szCs w:val="20"/>
              </w:rPr>
              <w:t xml:space="preserve">Facilitator</w:t>
            </w:r>
          </w:p>
        </w:tc>
        <w:tc>
          <w:tcPr>
            <w:tcW w:type="dxa" w:w="7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 </w:t>
            </w:r>
          </w:p>
        </w:tc>
      </w:tr>
      <w:tr>
        <w:tc>
          <w:tcPr>
            <w:tcW w:type="dxa" w:w="2520"/>
            <w:tcBorders>
              <w:top w:val="single" w:color="BFBFBF" w:sz="4"/>
              <w:left w:val="single" w:color="BFBFBF" w:sz="4"/>
              <w:bottom w:val="single" w:color="BFBFBF" w:sz="4"/>
              <w:right w:val="single" w:color="BFBFBF" w:sz="4"/>
            </w:tcBorders>
            <w:shd w:fill="EAF4F4" w:val="clear"/>
            <w:tcMar>
              <w:top w:type="dxa" w:w="100"/>
              <w:left w:type="dxa" w:w="140"/>
              <w:bottom w:type="dxa" w:w="100"/>
              <w:right w:type="dxa" w:w="140"/>
            </w:tcMar>
          </w:tcPr>
          <w:p>
            <w:r>
              <w:rPr>
                <w:rFonts w:ascii="Arial" w:cs="Arial" w:eastAsia="Arial" w:hAnsi="Arial"/>
                <w:b/>
                <w:bCs/>
                <w:color w:val="0B2545"/>
                <w:sz w:val="20"/>
                <w:szCs w:val="20"/>
              </w:rPr>
              <w:t xml:space="preserve">Note-taker</w:t>
            </w:r>
          </w:p>
        </w:tc>
        <w:tc>
          <w:tcPr>
            <w:tcW w:type="dxa" w:w="7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 </w:t>
            </w:r>
          </w:p>
        </w:tc>
      </w:tr>
    </w:tbl>
    <w:p>
      <w:r>
        <w:br w:type="page"/>
      </w:r>
    </w:p>
    <w:p>
      <w:pPr>
        <w:pStyle w:val="Heading1"/>
        <w:spacing w:after="160" w:before="360"/>
      </w:pPr>
      <w:r>
        <w:rPr>
          <w:rFonts w:ascii="Arial" w:cs="Arial" w:eastAsia="Arial" w:hAnsi="Arial"/>
          <w:b/>
          <w:bCs/>
          <w:color w:val="0B2545"/>
          <w:sz w:val="30"/>
          <w:szCs w:val="30"/>
        </w:rPr>
        <w:t xml:space="preserve">1. Egyptian Labor Law &amp; Statutory Obligations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4680"/>
        <w:gridCol w:w="4680"/>
      </w:tblGrid>
      <w:tr>
        <w:trPr>
          <w:tblHeader/>
        </w:trPr>
        <w:tc>
          <w:tcPr>
            <w:tcW w:type="dxa" w:w="72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Question</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Response / Notes</w:t>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1</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Which version of the Egyptian Labor Law (Law 12/2003 and amendments) governs Praxion employees today, and are there any pending amendments we should design for?</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2</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are the working-hours, overtime caps, and rest-day rules we must enforce in the system?</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3</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are the statutory leave entitlements (annual, sick, casual, maternity, paternity, hajj, study, bereavement) and how do they accrue?</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4</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are the legal notice periods for termination by category (probation, fixed-term, indefinite)?</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5</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are the legal grounds for dismissal, and what documentation must accompany each?</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6</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reporting obligations exist toward the Ministry of Manpower (MOMP), NOSI, and the labor office?</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7</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Are there any sector-specific or location-specific labor rules we must encode (free zones, investment zones, special economic zones)?</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bl>
    <w:p>
      <w:pPr>
        <w:spacing w:before="240"/>
      </w:pPr>
      <w:r>
        <w:t xml:space="preserve"/>
      </w:r>
    </w:p>
    <w:p>
      <w:pPr>
        <w:pStyle w:val="Heading1"/>
        <w:spacing w:after="160" w:before="360"/>
      </w:pPr>
      <w:r>
        <w:rPr>
          <w:rFonts w:ascii="Arial" w:cs="Arial" w:eastAsia="Arial" w:hAnsi="Arial"/>
          <w:b/>
          <w:bCs/>
          <w:color w:val="0B2545"/>
          <w:sz w:val="30"/>
          <w:szCs w:val="30"/>
        </w:rPr>
        <w:t xml:space="preserve">2. Contracts &amp; Templates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4680"/>
        <w:gridCol w:w="4680"/>
      </w:tblGrid>
      <w:tr>
        <w:trPr>
          <w:tblHeader/>
        </w:trPr>
        <w:tc>
          <w:tcPr>
            <w:tcW w:type="dxa" w:w="72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Question</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Response / Notes</w:t>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1</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Please share all current contract templates: permanent, fixed-term, probationary, contractor, intern, consultant.</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2</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Are contracts bilingual (Arabic/English)? Which language is the legally binding version?</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3</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Who is authorized to sign on behalf of Praxion / Egybell, and what is the signing matrix by contract value?</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4</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Are e-signatures legally accepted under Egyptian e-signature law for employment contracts? Which platform is approved?</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5</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addenda or attachments must accompany each contract (job description, code of conduct, NDA, IP assignment)?</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6</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is the current process for contract renewals, amendments, and confirmations after probation?</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7</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How are bilingual letters (employment, salary, experience, NOC, bank, embassy) currently produced, and what templates need to live in the system?</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bl>
    <w:p>
      <w:pPr>
        <w:spacing w:before="240"/>
      </w:pPr>
      <w:r>
        <w:t xml:space="preserve"/>
      </w:r>
    </w:p>
    <w:p>
      <w:pPr>
        <w:pStyle w:val="Heading1"/>
        <w:spacing w:after="160" w:before="360"/>
      </w:pPr>
      <w:r>
        <w:rPr>
          <w:rFonts w:ascii="Arial" w:cs="Arial" w:eastAsia="Arial" w:hAnsi="Arial"/>
          <w:b/>
          <w:bCs/>
          <w:color w:val="0B2545"/>
          <w:sz w:val="30"/>
          <w:szCs w:val="30"/>
        </w:rPr>
        <w:t xml:space="preserve">3. Data Protection &amp; Privacy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4680"/>
        <w:gridCol w:w="4680"/>
      </w:tblGrid>
      <w:tr>
        <w:trPr>
          <w:tblHeader/>
        </w:trPr>
        <w:tc>
          <w:tcPr>
            <w:tcW w:type="dxa" w:w="72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Question</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Response / Notes</w:t>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1</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How does Praxion currently comply with the Egyptian Personal Data Protection Law (Law 151/2020)? Is there a Data Protection Officer?</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2</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categories of personal data are processed, and what is the lawful basis for each?</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3</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are the data retention periods for active employees, terminated employees, candidates, and contractors?</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4</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are the rules for cross-border data transfer? Are there any restrictions on cloud hosting outside Egypt?</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5</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How are data subject rights (access, rectification, erasure, portability) handled today? What SLA must Praxion meet?</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6</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Is a DPIA (Data Protection Impact Assessment) required for the HROS rollout? Who owns it?</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7</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consent records must we capture and retain — and where are existing consents stored?</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8</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Are there any populations (minors, expats, board members) that require special privacy handling?</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bl>
    <w:p>
      <w:pPr>
        <w:spacing w:before="240"/>
      </w:pPr>
      <w:r>
        <w:t xml:space="preserve"/>
      </w:r>
    </w:p>
    <w:p>
      <w:pPr>
        <w:pStyle w:val="Heading1"/>
        <w:spacing w:after="160" w:before="360"/>
      </w:pPr>
      <w:r>
        <w:rPr>
          <w:rFonts w:ascii="Arial" w:cs="Arial" w:eastAsia="Arial" w:hAnsi="Arial"/>
          <w:b/>
          <w:bCs/>
          <w:color w:val="0B2545"/>
          <w:sz w:val="30"/>
          <w:szCs w:val="30"/>
        </w:rPr>
        <w:t xml:space="preserve">4. Disciplinary, Grievance &amp; Whistleblowing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4680"/>
        <w:gridCol w:w="4680"/>
      </w:tblGrid>
      <w:tr>
        <w:trPr>
          <w:tblHeader/>
        </w:trPr>
        <w:tc>
          <w:tcPr>
            <w:tcW w:type="dxa" w:w="72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Question</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Response / Notes</w:t>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1</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is the formal disciplinary process, and at what stages must Legal sign off?</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2</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evidence and documentation must be captured at each disciplinary stage?</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3</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is the grievance procedure, and what SLAs apply to each stage?</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4</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Is there a whistleblowing channel today? Should the system host it or integrate with a third party?</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5</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How are investigations documented, and who has access to investigation files?</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6</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appeal rights exist, and how are appeals tracked?</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bl>
    <w:p>
      <w:pPr>
        <w:spacing w:before="240"/>
      </w:pPr>
      <w:r>
        <w:t xml:space="preserve"/>
      </w:r>
    </w:p>
    <w:p>
      <w:pPr>
        <w:pStyle w:val="Heading1"/>
        <w:spacing w:after="160" w:before="360"/>
      </w:pPr>
      <w:r>
        <w:rPr>
          <w:rFonts w:ascii="Arial" w:cs="Arial" w:eastAsia="Arial" w:hAnsi="Arial"/>
          <w:b/>
          <w:bCs/>
          <w:color w:val="0B2545"/>
          <w:sz w:val="30"/>
          <w:szCs w:val="30"/>
        </w:rPr>
        <w:t xml:space="preserve">5. NDAs, IP, Non-Compete &amp; Confidentiality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4680"/>
        <w:gridCol w:w="4680"/>
      </w:tblGrid>
      <w:tr>
        <w:trPr>
          <w:tblHeader/>
        </w:trPr>
        <w:tc>
          <w:tcPr>
            <w:tcW w:type="dxa" w:w="72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Question</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Response / Notes</w:t>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1</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NDA and IP assignment templates are in force? Are they enforceable for all employee categories?</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2</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is the current position on non-compete clauses under Egyptian law, and how long are they enforceable?</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3</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How are confidentiality obligations communicated and tracked through the lifecycle?</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4</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is the policy on returning confidential information at termination?</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bl>
    <w:p>
      <w:pPr>
        <w:spacing w:before="240"/>
      </w:pPr>
      <w:r>
        <w:t xml:space="preserve"/>
      </w:r>
    </w:p>
    <w:p>
      <w:pPr>
        <w:pStyle w:val="Heading1"/>
        <w:spacing w:after="160" w:before="360"/>
      </w:pPr>
      <w:r>
        <w:rPr>
          <w:rFonts w:ascii="Arial" w:cs="Arial" w:eastAsia="Arial" w:hAnsi="Arial"/>
          <w:b/>
          <w:bCs/>
          <w:color w:val="0B2545"/>
          <w:sz w:val="30"/>
          <w:szCs w:val="30"/>
        </w:rPr>
        <w:t xml:space="preserve">6. Audits, Litigation Holds &amp; Records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4680"/>
        <w:gridCol w:w="4680"/>
      </w:tblGrid>
      <w:tr>
        <w:trPr>
          <w:tblHeader/>
        </w:trPr>
        <w:tc>
          <w:tcPr>
            <w:tcW w:type="dxa" w:w="72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Question</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Response / Notes</w:t>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1</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Which external auditors and regulators may inspect employee records, and what is their notice period?</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2</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records must be retained on a litigation hold, and how is the hold communicated and enforced?</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3</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is the records retention schedule for each document type (contracts, payroll, disciplinary, medical)?</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4</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audit log evidence is Legal expected to produce in a dispute or investigation?</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bl>
    <w:p>
      <w:pPr>
        <w:spacing w:before="240"/>
      </w:pPr>
      <w:r>
        <w:t xml:space="preserve"/>
      </w:r>
    </w:p>
    <w:p>
      <w:pPr>
        <w:pStyle w:val="Heading1"/>
        <w:spacing w:after="160" w:before="360"/>
      </w:pPr>
      <w:r>
        <w:rPr>
          <w:rFonts w:ascii="Arial" w:cs="Arial" w:eastAsia="Arial" w:hAnsi="Arial"/>
          <w:b/>
          <w:bCs/>
          <w:color w:val="0B2545"/>
          <w:sz w:val="30"/>
          <w:szCs w:val="30"/>
        </w:rPr>
        <w:t xml:space="preserve">7. Anti-Bribery, Conflict of Interest &amp; Ethics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4680"/>
        <w:gridCol w:w="4680"/>
      </w:tblGrid>
      <w:tr>
        <w:trPr>
          <w:tblHeader/>
        </w:trPr>
        <w:tc>
          <w:tcPr>
            <w:tcW w:type="dxa" w:w="72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Question</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Response / Notes</w:t>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1</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anti-bribery and anti-corruption policies must employees acknowledge, and how often?</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2</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How are conflict-of-interest declarations collected and reviewed?</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3</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gifts and hospitality rules must be enforced and tracked?</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4</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mandatory ethics training must be completed by which populations, and at what frequency?</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bl>
    <w:p>
      <w:r>
        <w:br w:type="page"/>
      </w:r>
    </w:p>
    <w:p>
      <w:pPr>
        <w:pStyle w:val="Heading1"/>
        <w:spacing w:after="160" w:before="360"/>
      </w:pPr>
      <w:r>
        <w:rPr>
          <w:rFonts w:ascii="Arial" w:cs="Arial" w:eastAsia="Arial" w:hAnsi="Arial"/>
          <w:b/>
          <w:bCs/>
          <w:color w:val="0B2545"/>
          <w:sz w:val="30"/>
          <w:szCs w:val="30"/>
        </w:rPr>
        <w:t xml:space="preserve">Follow-ups &amp; sign-off</w:t>
      </w:r>
    </w:p>
    <w:p>
      <w:pPr>
        <w:spacing w:after="120" w:before="60"/>
      </w:pPr>
      <w:r>
        <w:rPr>
          <w:rFonts w:ascii="Arial" w:cs="Arial" w:eastAsia="Arial" w:hAnsi="Arial"/>
          <w:sz w:val="22"/>
          <w:szCs w:val="22"/>
        </w:rPr>
        <w:t xml:space="preserve">Please list any items that require further investigation, the owner, and the target date.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5040"/>
        <w:gridCol w:w="2160"/>
        <w:gridCol w:w="2160"/>
      </w:tblGrid>
      <w:tr>
        <w:trPr>
          <w:tblHeader/>
        </w:trPr>
        <w:tc>
          <w:tcPr>
            <w:tcW w:type="dxa" w:w="72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504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Open item</w:t>
            </w:r>
          </w:p>
        </w:tc>
        <w:tc>
          <w:tcPr>
            <w:tcW w:type="dxa" w:w="216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Owner</w:t>
            </w:r>
          </w:p>
        </w:tc>
        <w:tc>
          <w:tcPr>
            <w:tcW w:type="dxa" w:w="216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Due date</w:t>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1</w:t>
            </w:r>
          </w:p>
        </w:tc>
        <w:tc>
          <w:tcPr>
            <w:tcW w:type="dxa" w:w="504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2</w:t>
            </w:r>
          </w:p>
        </w:tc>
        <w:tc>
          <w:tcPr>
            <w:tcW w:type="dxa" w:w="504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3</w:t>
            </w:r>
          </w:p>
        </w:tc>
        <w:tc>
          <w:tcPr>
            <w:tcW w:type="dxa" w:w="504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4</w:t>
            </w:r>
          </w:p>
        </w:tc>
        <w:tc>
          <w:tcPr>
            <w:tcW w:type="dxa" w:w="504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5</w:t>
            </w:r>
          </w:p>
        </w:tc>
        <w:tc>
          <w:tcPr>
            <w:tcW w:type="dxa" w:w="504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6</w:t>
            </w:r>
          </w:p>
        </w:tc>
        <w:tc>
          <w:tcPr>
            <w:tcW w:type="dxa" w:w="504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7</w:t>
            </w:r>
          </w:p>
        </w:tc>
        <w:tc>
          <w:tcPr>
            <w:tcW w:type="dxa" w:w="504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8</w:t>
            </w:r>
          </w:p>
        </w:tc>
        <w:tc>
          <w:tcPr>
            <w:tcW w:type="dxa" w:w="504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bl>
    <w:p>
      <w:pPr>
        <w:spacing w:after="60" w:before="360"/>
      </w:pPr>
      <w:r>
        <w:rPr>
          <w:rFonts w:ascii="Arial" w:cs="Arial" w:eastAsia="Arial" w:hAnsi="Arial"/>
          <w:b/>
          <w:bCs/>
          <w:color w:val="0B2545"/>
          <w:sz w:val="24"/>
          <w:szCs w:val="24"/>
        </w:rPr>
        <w:t xml:space="preserve">Sign-off</w:t>
      </w:r>
    </w:p>
    <w:p>
      <w:pPr>
        <w:spacing w:before="200"/>
      </w:pPr>
      <w:r>
        <w:rPr>
          <w:rFonts w:ascii="Arial" w:cs="Arial" w:eastAsia="Arial" w:hAnsi="Arial"/>
          <w:sz w:val="22"/>
          <w:szCs w:val="22"/>
        </w:rPr>
        <w:t xml:space="preserve">Legal &amp; Compliance lead:  ____________________________     Date: ____________</w:t>
      </w:r>
    </w:p>
    <w:p>
      <w:pPr>
        <w:spacing w:before="200"/>
      </w:pPr>
      <w:r>
        <w:rPr>
          <w:rFonts w:ascii="Arial" w:cs="Arial" w:eastAsia="Arial" w:hAnsi="Arial"/>
          <w:sz w:val="22"/>
          <w:szCs w:val="22"/>
        </w:rPr>
        <w:t xml:space="preserve">Praxion module owner:  ____________________________     Date: ____________</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8"/>
        <w:szCs w:val="18"/>
      </w:rPr>
      <w:t xml:space="preserve">Confidential — Praxion / Egybell    •    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595959"/>
        <w:sz w:val="18"/>
        <w:szCs w:val="18"/>
      </w:rPr>
      <w:t xml:space="preserve">Praxion HROS  |  M1, M3, M6, M8, M10  |  Legal &amp; Compliance Discovery Questionnaire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2545"/>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3A4A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Legal &amp; Compliance Discovery Questionnaire</dc:title>
  <dc:creator>Praxion HROS — Legal &amp; Compliance Discovery</dc:creator>
  <cp:lastModifiedBy>Un-named</cp:lastModifiedBy>
  <cp:revision>1</cp:revision>
  <dcterms:created xsi:type="dcterms:W3CDTF">2026-04-14T09:22:42.201Z</dcterms:created>
  <dcterms:modified xsi:type="dcterms:W3CDTF">2026-04-14T09:22:42.201Z</dcterms:modified>
</cp:coreProperties>
</file>

<file path=docProps/custom.xml><?xml version="1.0" encoding="utf-8"?>
<Properties xmlns="http://schemas.openxmlformats.org/officeDocument/2006/custom-properties" xmlns:vt="http://schemas.openxmlformats.org/officeDocument/2006/docPropsVTypes"/>
</file>