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M8, M12, M13</w:t>
      </w:r>
    </w:p>
    <w:p>
      <w:pPr>
        <w:spacing w:after="60" w:before="0"/>
      </w:pPr>
      <w:r>
        <w:rPr>
          <w:rFonts w:ascii="Arial" w:cs="Arial" w:eastAsia="Arial" w:hAnsi="Arial"/>
          <w:b/>
          <w:bCs/>
          <w:color w:val="0B2545"/>
          <w:sz w:val="36"/>
          <w:szCs w:val="36"/>
        </w:rPr>
        <w:t xml:space="preserve">Discovery Questionnaire — Operations, Contractors &amp; Client Services Workshop</w:t>
      </w:r>
    </w:p>
    <w:p>
      <w:pPr>
        <w:spacing w:after="240" w:before="0"/>
      </w:pPr>
      <w:r>
        <w:rPr>
          <w:rFonts w:ascii="Arial" w:cs="Arial" w:eastAsia="Arial" w:hAnsi="Arial"/>
          <w:i/>
          <w:iCs/>
          <w:color w:val="595959"/>
          <w:sz w:val="22"/>
          <w:szCs w:val="22"/>
        </w:rPr>
        <w:t xml:space="preserve">Prepared for the joint Praxion × Operations, Contractors &amp; Client Services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Modules 8 (Contractor Management), 12 (Client Portal), and 13 (Billing &amp; Invoicing). The goal is to align on the operational backbone Praxion needs to manage non-employee workers, deliver client-facing experiences, and bill cleanly.</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Contractor Engagement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contractor types are engaged today: independent, agency-supplied, statement-of-work, freelancers, interns?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volume per category and the projected growth?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legal and tax differences between each, and how must Praxion enforce them?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contractors are co-employed via PEO or similar arrangements?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Contractor Onboarding &amp;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documents must a contractor provide before engagement (CR, tax card, insurance, NDAs)?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background checks apply to contractors?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contractor SLAs, deliverables, and KPIs captured?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right-to-work and tax-status verification process?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Time, Deliverables &amp; 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do contractors log time and deliverables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approval workflow applies before invoices can be raised?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milestones tracked for fixed-price engagements?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disputes between contractor and client resolved?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Client Portal — Audience &amp;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are the client portal users: client HR, client finance, client managers, end-employees?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Should the portal be multi-tenant with full client branding?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information does each audience need: contracts, headcount, attendance, payroll, invoices, reports?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approval workflows must the client perform inside the portal (timesheet sign-off, invoice approval)?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Service Levels &amp;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SLAs does Praxion commit to clients today, and how are breaches tracked?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client communications should be hosted in the portal (announcements, tickets, document exchange)?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client escalations managed?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client satisfaction measured?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Billing Models &amp;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pricing models are in use: per-employee-per-month, time and materials, fixed fee, milestone, retainer?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prices tiered, volume-discounted, or contract-specific?</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mid-cycle changes (joiners, leavers, scope) reflected in invoices?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currencies are billed in, and how is FX handled?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Invoice Generation &amp;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invoice approval chain internally before dispatch to client?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invoices generated monthly, on milestone, or on demand?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backup data must accompany each invoice (timesheet, headcount list, expense detail)?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credit notes and adjustments handled?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Tax, E-Invoicing &amp;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Egyptian VAT (14%) applied across services, and which services are exempt?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current status of integration with the Egyptian Tax Authority e-invoice portal?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withholding tax rules apply by client and service type?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invoice format and language is required by clients (Arabic, English, bilingual)?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9. Collections &amp;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payment terms are standard, and which clients have bespoke terms?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dunning process for overdue invoices?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revenue recognized (cash, accrual, milestone)?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collection KPIs should the dashboard show (DSO, AR aging)?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Operations, Contractors &amp; Client Services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M8, M12, M13  |  Operations, Contractors &amp; Client Services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Contractors &amp; Client Services Discovery Questionnaire</dc:title>
  <dc:creator>Praxion HROS — Operations, Contractors &amp; Client Services Discovery</dc:creator>
  <cp:lastModifiedBy>Un-named</cp:lastModifiedBy>
  <cp:revision>1</cp:revision>
  <dcterms:created xsi:type="dcterms:W3CDTF">2026-04-14T09:22:42.422Z</dcterms:created>
  <dcterms:modified xsi:type="dcterms:W3CDTF">2026-04-14T09:22:42.422Z</dcterms:modified>
</cp:coreProperties>
</file>

<file path=docProps/custom.xml><?xml version="1.0" encoding="utf-8"?>
<Properties xmlns="http://schemas.openxmlformats.org/officeDocument/2006/custom-properties" xmlns:vt="http://schemas.openxmlformats.org/officeDocument/2006/docPropsVTypes"/>
</file>