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0b1437"/>
          <w:sz w:val="52"/>
          <w:szCs w:val="52"/>
          <w:rtl w:val="0"/>
        </w:rPr>
        <w:t xml:space="preserve">PRAXION HROS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color w:val="2f6bff"/>
          <w:sz w:val="32"/>
          <w:szCs w:val="32"/>
          <w:rtl w:val="0"/>
        </w:rPr>
        <w:t xml:space="preserve">MODULE M1  ·  CORE HRIS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9d3c5" w:space="16" w:sz="8" w:val="single"/>
        </w:pBdr>
        <w:spacing w:after="400" w:lineRule="auto"/>
        <w:jc w:val="center"/>
        <w:rPr/>
      </w:pPr>
      <w:r w:rsidDel="00000000" w:rsidR="00000000" w:rsidRPr="00000000">
        <w:rPr>
          <w:color w:val="0b1437"/>
          <w:sz w:val="28"/>
          <w:szCs w:val="28"/>
          <w:rtl w:val="0"/>
        </w:rPr>
        <w:t xml:space="preserve">Consolidated Discovery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Prepared for the Praxion × Egybell Business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color w:val="2f6bff"/>
          <w:rtl w:val="0"/>
        </w:rPr>
        <w:t xml:space="preserve">Target Go-Live: 14 March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b w:val="1"/>
          <w:bCs w:val="1"/>
          <w:color w:val="0b1437"/>
          <w:sz w:val="26"/>
          <w:szCs w:val="26"/>
          <w:rtl w:val="0"/>
        </w:rPr>
        <w:t xml:space="preserve">How to Use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This questionnaire consolidates all M1 Core HRIS discovery questions into a single document for the business team. Many answers have been pre-filled from the approved BRD (v1.0, 10 April 2026). Pre-filled answers appear in blue italic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For each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   1.  Review the pre-filled answer (if any).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   2.  Mark Y in the Confirm column if the answer is correct, or N if changes are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   3.  For blank responses, provide your answer in the Response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   4.  If you mark N, please add your correction or comment in the Response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1. Organization Structure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the org model and hierarchy that Praxion must support at go-live.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many legal entities, business units, departments, and locations must the system represent at go-live?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Egybell is the provider tenant. Each outsourcing client is a separate client tenant. Exact count of client tenants TBD.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does the org chart look like today, and where is the source of truth?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color w:val="6d9eeb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Currently in Excel workbooks managed independently by HR, Ops, and Payroll. No single source of truth exists. </w:t>
            </w:r>
            <w:r w:rsidDel="00000000" w:rsidR="00000000" w:rsidRPr="00000000">
              <w:rPr>
                <w:i w:val="1"/>
                <w:iCs w:val="1"/>
                <w:color w:val="6d9eeb"/>
                <w:sz w:val="20"/>
                <w:szCs w:val="20"/>
                <w:highlight w:val="yellow"/>
                <w:rtl w:val="0"/>
              </w:rPr>
              <w:t xml:space="preserve">Org Chart of each client or of EGYBELL?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Do we use position management (every seat is a defined position) or headcount management (just employee records)?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are dotted-line and matrix reporting relationships handled?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are cost centers and GL dimensions linked to org units?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Cost centres are part of the org structure data model. Departments, job titles, grades, and cost centres are tenant-scoped.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Who owns org changes, and what is the approval workflow for creating, moving, or closing units?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working week pattern (Sun-Thu, Mon-Fri, shifts)?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Sun-Thu is the default Egyptian working week. System supports Gregorian/Hijri 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many departments exist across all entities today? Please provide a list if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Payroll and Personnel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Recruitment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Procurement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HR services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Are there any planned entity mergers, acquisitions, or restructurings before go-live (14 Mar 2027)?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2. Employee Master Data</w:t>
      </w:r>
    </w:p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what data fields, ID types, and profile structure the system must capture.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master data fields are mandatory at hire, beyond name, ID, DOB, contract?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Arabic name and English name are mandatory (BR-M1-003). Employment type is mandatory: Internal / Outsourced / Client Direct / Contractor (BR-M1-002).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Which fields are bilingual (Arabic name, English name, address)?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All user-facing text fields support bilingual AR/EN with full RTL. At least one language is mandatory per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ID types are tracked: national ID, passport, military service, work permit, residence permit?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National ID, passport, military certificates tracked as documents with expiry alerts. National ID and passport are PII Level 2. </w:t>
            </w: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highlight w:val="yellow"/>
                <w:rtl w:val="0"/>
              </w:rPr>
              <w:t xml:space="preserve">Social Insurance number/ Contract end and start date/  Medical insurance renewal date/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is military service status (essential in Egypt) captured and verified?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Military certificates are tracked in the document vault with expiry management.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family and dependent data is stored, and which fields drive payroll/benefits eligibility?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A dependent sub-section exists on the profile. Family data is masked in client tenant projections per PDPL. </w:t>
            </w: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highlight w:val="yellow"/>
                <w:rtl w:val="0"/>
              </w:rPr>
              <w:t xml:space="preserve">Medical Information like membership ID/ age/ relation/ medical end and start date</w:t>
            </w: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are emergency contacts maintained?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Emergency contacts sub-section on the profile. Editable via employee self-service.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data is editable by the employee via self-service vs. HR-only?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highlight w:val="yellow"/>
                <w:rtl w:val="0"/>
              </w:rPr>
              <w:t xml:space="preserve">Self-service: contact details, emergency contacts, dependents, document uploads (with approval). HR-only: compensation, employment type, status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many active employees exist today across all entities? What is the projected count at go-live?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System designed for up to 50,000 employees and 100 client tenants at go-live.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current employee ID numbering scheme? Should Praxion generate new IDs or adopt the existing format?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Praxion generates a unique Employee ID on profile creation.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Are there employee categories beyond the four types (Internal, Outsourced, Client Direct, Contractor) that need tracking?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Four types defined: Internal, Outsourced, Client Direct, Contractor. Each has type-specific required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previous employment history data is captured, and is it verified?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Previous employment sub-section exists on the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are employee photos managed (upload rules, mandatory, badge integration)?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Profile photo upload supported with configurable size and type policies (FR-M1-002).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3. Employee Lifecycle Events</w:t>
      </w:r>
    </w:p>
    <w:p w:rsidR="00000000" w:rsidDel="00000000" w:rsidP="00000000" w:rsidRDefault="00000000" w:rsidRPr="00000000" w14:paraId="00000077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which lifecycle events are tracked, how they are approved, and how dates are handled.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Which lifecycle events must be tracked: hire, rehire, transfer, promotion, demotion, suspension, leave of absence, return, termination?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All of the above. Employee lifecycle from hire to termination is owned by M1. Status changes: active, on leave, suspended, terminated.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approval workflow for each event, and which roles are involved?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Leave requests follow configured approval chain (BR-M1-008). Termination triggers offboarding (M3) and revokes access within 24h (BR-M1-012).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are effective dates handled: current date, future-dated, retroactive?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Future-dated and retroactive supported. Retroactive terminations instruct payroll to process corrections.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documents and notifications are auto-generated by each event?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Termination raises domain event on Kafka bus consumed by M3, M6. Leave approval sends confirmation to both parties.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are mass changes (annual increase, restructuring) executed today?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Bulk import from Excel with validation report and dry-run mode (FR-M1-007).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probation period by job category, and how is confirmation handled?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3 months, confirmation based on line managers of each employee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suspension types exist (disciplinary, administrative, pending investigation)? What are the pay rules for each?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are secondments and temporary assignments tracked and approved?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Outsourced employees support reassignment between clients with history retained (FR-M1-005).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4. Document Management</w:t>
      </w:r>
    </w:p>
    <w:p w:rsidR="00000000" w:rsidDel="00000000" w:rsidP="00000000" w:rsidRDefault="00000000" w:rsidRPr="00000000" w14:paraId="0000009D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document types, retention rules, access controls, and migration approach.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document types are stored in the employee file (contract, ID copies, certificates, medical, military, references, photos)?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Configurable document types: ID, passport, contract, certificate, etc. (FR-M1-001). All documents encrypted at rest with per-tenant DEKs.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are the retention rules per document type?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Active employee records: duration + 7 years. Payroll: 7 years. SI: 7 years. Audit logs: 7 years. Candidates: 24 months.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Are there mandatory documents that block onboarding completion if missing?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Who can see which document categories?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Sensitive documents restricted to roles with explicit permission (FR-M1-006). National ID, passport, bank account restricted to HR Manager+ (BR-M1-011).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Should documents be OCR-searchable? Versioned? Watermarked?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Search by type, tag, expiry, uploader (FR-M1-005). Watermarking for downloaded copies (FR-M1-007). Document versioning: each save creates new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maximum file size allowed per document upload?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Configurable size and type policies. Client-side compression planned to control storage costs.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Are there documents that require co-signing or multi-party approval before filing?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should documents from the legacy system (WhatsApp, email, Excel) be migrated?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Documents currently scattered across WhatsApp and email. Migration approach TBD.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5. Leave Management</w:t>
      </w:r>
    </w:p>
    <w:p w:rsidR="00000000" w:rsidDel="00000000" w:rsidP="00000000" w:rsidRDefault="00000000" w:rsidRPr="00000000" w14:paraId="000000C4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statutory leave entitlements, company enhancements, and operational rules.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Confirm annual leave entitlement: 21 days (&lt;10 yrs service), 30 days (10+ yrs). Any company enhancements?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21 days for &lt;10 yrs, 30 days for 10+ yrs per Labor Law 12/2003, Article 47 (BR-M1-004). Tenant-specific variations supported.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Confirm sick leave entitlement: 45 days per calendar year. How is medical evidence handled?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45 days per calendar year per Labor Law (BR-M1-005).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Confirm maternity leave: 90 days, up to two instances. Any additional company policy?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90 days with up to 2 instances per Labor Law (BR-M1-006).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Confirm Hajj leave: 30 days, once, for 5+ yrs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30 days, once, for 5+ yrs service per Labor Law (BR-M1-007).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other leave types exist: Emergency, Study, Bereavement, Unpaid, Paternity, Compassionate, Marriage?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Catalogue includes: Annual, Sick, Maternity, Hajj, Unpaid, Emergency, Study, Bereavement. Others TBD.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are the carry-over rules for unused annual leave? Is there an encashment policy?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Carry-over rules are configurable per tenant (BR-M1-015). Accrual basis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leave approval chain by leave type and duration?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Configured approval chain; skipping levels not permitted (BR-M1-008). Escalation if SLA not met.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escalation SLA if a manager does not act on a leave request?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Configurable SLA. Escalation to next level with notification.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Can employees take half-day leave? How is it calculated against the balance?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are public holidays managed? Does each client tenant have a different holiday calendar?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Public holiday calendars per tenant with Egyptian default calendar seeded at activation (FR-M1-010).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policy for leave during probation period?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is sick leave beyond the statutory 45 days handled (extended sick, unpaid, disability)?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process for emergency/force-majeure leave (e.g., family death, court summons)?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6. Outsourced Employee Projection</w:t>
      </w:r>
    </w:p>
    <w:p w:rsidR="00000000" w:rsidDel="00000000" w:rsidP="00000000" w:rsidRDefault="00000000" w:rsidRPr="00000000" w14:paraId="000000FF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PII masking rules, assignment tracking, and cross-tenant behaviour.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data should the client tenant see for outsourced employees? What must be hidden?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Salary, bank account, national ID, family data are masked in client projection (BR-M1-009, FR-M1-002).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Can a client ever be granted access to masked fields (e.g., with employee consent)?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Masking unless explicit consent exists (BR-M1-009). Consent management per PDPL.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is the assignment period tracked (start, planned end, actual end)?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Assignment entity with start_date, end_date, rate. Displayed in both tenants (FR-M1-003).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happens when an outsourced employee is reassigned to a different client?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New assignment record created, history retained. Status propagated in real time (FR-M1-004, FR-M1-005).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Can a client HR manager request corrections to an outsourced employee record?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Only via change-request workflow to Egybell HR (FR-M1-006).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rate/billing information is stored on the assignment, and who can see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Rate is stored on the Assignment entity. Visibility rules TBD.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Can an employee be assigned to multiple clients simultaneously (split assignments)?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should the system handle an outsourced employee whose client contract ends but Egybell employment continues?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7. Letters &amp; Communications</w:t>
      </w:r>
    </w:p>
    <w:p w:rsidR="00000000" w:rsidDel="00000000" w:rsidP="00000000" w:rsidRDefault="00000000" w:rsidRPr="00000000" w14:paraId="00000125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letter types, templates, signing authority, and SLAs.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standard letters does HR Ops produce monthly (employment, salary, experience, NOC, bank, embassy, mortgage)?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Bilingual employment letter template pre-filled with employee details (US-M1-006).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templates need to be bilingual, and which language is the legal version?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All templates bilingual AR/EN. Legal version TBD by Legal team.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Who signs each letter type, and is e-signature acceptable?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HR Manager counter-signs digitally. Verification QR code on output PDF (US-M1-006). E-signature provider procurement is open.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request/approval workflow do employees follow to request a letter?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Employee requests via self-service. HR Manager notified to counter-sign.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SLA does HR Ops commit to on letter delivery?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Are there letter types that require multiple signatories or management approval before issuance?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Should letters include a digital verification mechanism (QR code, URL) for third-party validation?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Yes, verification QR code included per US-M1-006.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8. Roles, Permissions &amp; Self-Service</w:t>
      </w:r>
    </w:p>
    <w:p w:rsidR="00000000" w:rsidDel="00000000" w:rsidP="00000000" w:rsidRDefault="00000000" w:rsidRPr="00000000" w14:paraId="00000148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role definitions, access levels, and self-service scope.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Which roles need access to Core HRIS data: HRBP, HR Admin, Manager, Employee, Auditor, Executive?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11 roles defined: Super Admin, HR Manager, Ops Manager, Account Manager, Finance Officer (Egybell); Client Admin, Client HR, Client Dept Manager, Client Employee (Client); Outsourced Employee, Contractor (Dual).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manager's view: direct reports only, or skip-level?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employee self-service actions should be enabled at go-live?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View/edit profile (contact, emergency, dependents), upload documents, submit/cancel leave, view balances, download employment letter.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Are there fields or document types that should be hidden from managers?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Compensation visible only to compensation-privileged roles (FR-M1-004). Sensitive documents restricted by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Should outsourced employees see both their Egybell context and client assignment in a single login?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Yes, single login with dual context. Header shows 'Employer: Egybell, Assignment: &lt;Client&gt;' (US-M1-004).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are role delegations handled when a manager or HR admin is on leave?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access should external auditors have, and how is it provisioned/revoked?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External auditors are in the distribution list. Access on request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9. Reporting &amp; Compliance</w:t>
      </w:r>
    </w:p>
    <w:p w:rsidR="00000000" w:rsidDel="00000000" w:rsidP="00000000" w:rsidRDefault="00000000" w:rsidRPr="00000000" w14:paraId="0000016A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standard reports, regulatory filings, and dashboard KPIs.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Which standard reports must HR Ops produce monthly (headcount, joiners, leavers, demographic)?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Real-time headcount, turnover, and tenure dashboards. Target: monthly headcount report in &lt;5 min (from 2 days today).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Which reports go to MOMP, NOSI, or other regulators, and in what format?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NOSI filings driven by employee status from M1 to M6. Specific formats TBD.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are the top 3 HR Ops reports that take the most time to produce today?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KPIs should the HR Ops dashboard show?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% employees with complete profile, leave request cycle time, document expiry incidents/quarter, time to produce headcount report, PDPL DSR fulfilment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format/frequency of regulatory filings to MOMP and the labor office?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Are there client-specific reporting obligations that must be fulfilled from M1 data?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10. Data Migration &amp; Legacy</w:t>
      </w:r>
    </w:p>
    <w:p w:rsidR="00000000" w:rsidDel="00000000" w:rsidP="00000000" w:rsidRDefault="00000000" w:rsidRPr="00000000" w14:paraId="00000189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legacy data sources, quality, cutover strategy, and ownership.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legacy systems hold employee data today? List all Excel files, Word templates, and other 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HR, Ops, and Payroll Excel workbooks. Word document templates. WhatsApp group messages. Email threads.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data quality like? Are there known duplicates, inconsistencies, or missing records?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Records duplicated, often out of date, impossible to reconcile. Source data is 'reasonably consistent' per assumption.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many years of historical data must be migrated?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cutover strategy: big-bang or parallel run? For how long?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Parallel dual-run with Excel for 1 month planned as mitigation for migration risk (R-M1-01).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Who owns data cleansing and validation before migration?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Required master data (departments, job titles, cost centres) must be curated and approved prior to cutover.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Are there any data elements in the legacy system that have no equivalent in Praxion?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11. IT, Security &amp; Architecture (M1-relevant)</w:t>
      </w:r>
    </w:p>
    <w:p w:rsidR="00000000" w:rsidDel="00000000" w:rsidP="00000000" w:rsidRDefault="00000000" w:rsidRPr="00000000" w14:paraId="000001A7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hosting, identity, security, and procurement decisions that affect M1.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preferred hosting model: SaaS, private cloud, on-premise?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Which cloud provider and region are approved? Is data residency in Egypt required?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Data must reside in-region per PDPL. Cross-border transfer requires explicit legal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identity source of truth: AD, Azure AD, Google Workspace?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Which SSO protocol is in use (SAML 2.0, OIDC)?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OIDC for federated login (per integration requirements). SSO with Apple, Microsoft, Google.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Is MFA mandatory for all users or only privileged ones?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MFA mandatory for privileged roles (NFR-SEC-01). All users TBD.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backup, DR, RTO, and RPO targets must Praxion meet?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RPO &lt;= 15 min, RTO &lt;= 4 hours. 99.9% monthly uptime. Quarterly DR drills.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Which e-Signature provider is preferred (DocuSign, local provider)?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Procurement open. Decision pending.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Which SMS gateway is preferred for OTP and notifications?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Procurement open. Decision pending.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preferred bank file format across Egybell's banking partners?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Per-bank template. Specific formats TBD (BRD open question).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12. Legal &amp; Compliance (M1-relevant)</w:t>
      </w:r>
    </w:p>
    <w:p w:rsidR="00000000" w:rsidDel="00000000" w:rsidP="00000000" w:rsidRDefault="00000000" w:rsidRPr="00000000" w14:paraId="000001D2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legal framework, PDPL compliance approach, and data retention.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Which version of Egyptian Labor Law (12/2003 and amendments) governs Praxion employees? Any pending amendments?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line="276" w:lineRule="auto"/>
              <w:rPr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Law 12/2003. System absorbs statutory changes through configuration engine, no code changes.</w:t>
            </w: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highlight w:val="yellow"/>
                <w:rtl w:val="0"/>
              </w:rPr>
              <w:t xml:space="preserve">Law 14/2025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does Praxion comply with PDPL (Law 151/2020)? Is there a Data Protection Officer?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PDPL compliance built in: consent management, DSR workflows, PII masking, breach notification (72h), crypto-shredding.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Are e-signatures legally accepted under Egyptian law for employment contracts?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Decision pending (BRD open question). E-signature provider procurement is open.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are the data retention periods for active employees, terminated employees, candidates, and contractors?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Active + 7 yrs. Payroll 7 yrs. SI 7 yrs. Audit 7 yrs. Candidates 24 months. PDPL erasure can override.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are the rules for cross-border data transfer? Restrictions on cloud hosting outside Egypt?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Cross-border transfer requires explicit legal review. In-region data residency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Are there sector-specific rules to encode (free zones, investment zones, special economic zones)?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consent records must be captured and retained for PDPL compliance?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Consent per subject, purpose, and legal basis (NFR-PDPL-01). Data subject rights supported.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13. Attendance &amp; Time (M1 Data Model)</w:t>
      </w:r>
    </w:p>
    <w:p w:rsidR="00000000" w:rsidDel="00000000" w:rsidP="00000000" w:rsidRDefault="00000000" w:rsidRPr="00000000" w14:paraId="000001F4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Confirm attendance tracking approach and integration with T&amp;A systems.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attendance/time tracking system is in use today (biometric, card, manual)?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Attendance data model captures clock-in / clock-out. Source of truth for T&amp;A TBD.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integration is needed between T&amp;A devices and Praxion?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is remote/WFH attendance tracked?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are the overtime rules: weekday, rest day, and public holiday multipliers?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How is field staff attendance verified (client sites, multi-location)?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14. Open Questions from BRD v1.0</w:t>
      </w:r>
    </w:p>
    <w:p w:rsidR="00000000" w:rsidDel="00000000" w:rsidP="00000000" w:rsidRDefault="00000000" w:rsidRPr="00000000" w14:paraId="0000020F">
      <w:pPr>
        <w:spacing w:after="20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These items were flagged as open in the BRD sign-off. Decisions are needed before design freeze.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4780"/>
        <w:gridCol w:w="3800"/>
        <w:gridCol w:w="1000"/>
        <w:tblGridChange w:id="0">
          <w:tblGrid>
            <w:gridCol w:w="500"/>
            <w:gridCol w:w="4780"/>
            <w:gridCol w:w="380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/ Pre-filled from BRD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143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Confirm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final list of pilot client tenants and their target onboarding dates?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Open question from BRD v1.0.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agreement on data sovereignty region for hosted infrastructure?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Open question from BRD v1.0.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are the expected SLAs with client tenants and the penalty framework?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Open question from BRD v1.0.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change management plan exists for moving users from WhatsApp/Excel to Praxion self-service?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Risk R-M1-05 identified: user resistance. Mobile app adoption and champions per client tenant planned.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Who are the UAT testers per role, and when will they be available?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color w:val="2f6bff"/>
                <w:sz w:val="20"/>
                <w:szCs w:val="20"/>
                <w:rtl w:val="0"/>
              </w:rPr>
              <w:t xml:space="preserve">UAT requires training delivered, access provisioned per role, sanitized prod-like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line="276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is the budget for e-Signature, SMS gateway, and cloud hosting procurement?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Sign-Off</w:t>
      </w:r>
    </w:p>
    <w:p w:rsidR="00000000" w:rsidDel="00000000" w:rsidP="00000000" w:rsidRDefault="00000000" w:rsidRPr="00000000" w14:paraId="0000022E">
      <w:pPr>
        <w:spacing w:after="20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By signing below, the named stakeholders confirm that they have reviewed and responded to all questions in this document. Confirmed answers will be incorporated into the M1 functional design. Items marked N will be investigated and resolved before design freeze.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7080"/>
        <w:tblGridChange w:id="0">
          <w:tblGrid>
            <w:gridCol w:w="3000"/>
            <w:gridCol w:w="7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30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Title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30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30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30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color w:val="0b1437"/>
                <w:sz w:val="20"/>
                <w:szCs w:val="20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30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B">
    <w:pPr>
      <w:pBdr>
        <w:top w:color="eeeeee" w:space="8" w:sz="4" w:val="single"/>
      </w:pBd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Confidential  |  Egybell Internal + Approved Reviewers  |  Page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pBdr>
        <w:bottom w:color="2f6bff" w:space="8" w:sz="6" w:val="single"/>
      </w:pBdr>
      <w:spacing w:after="100" w:lineRule="auto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M1 Core HRIS  |  Discovery Questionnaire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-2538</wp:posOffset>
          </wp:positionH>
          <wp:positionV relativeFrom="paragraph">
            <wp:posOffset>3175</wp:posOffset>
          </wp:positionV>
          <wp:extent cx="1499870" cy="35242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9870" cy="3524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  <w:lang w:val="en-A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0b143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0b143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7ySpJfgR83+Fx/WO27nGzHkgew==">CgMxLjA4AHIhMXMyQTB5bVR2c1NBZmhjRkYtS1g2MFVtZU9QNFRrd29l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