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100"/>
        <w:jc w:val="center"/>
      </w:pPr>
      <w:r>
        <w:rPr>
          <w:rFonts w:ascii="Inter" w:cs="Inter" w:eastAsia="Inter" w:hAnsi="Inter"/>
          <w:b/>
          <w:bCs/>
          <w:color w:val="0B1437"/>
          <w:sz w:val="52"/>
          <w:szCs w:val="52"/>
        </w:rPr>
        <w:t xml:space="preserve">PRAXION HROS</w:t>
      </w:r>
    </w:p>
    <w:p>
      <w:pPr>
        <w:spacing w:after="80"/>
        <w:jc w:val="center"/>
      </w:pPr>
      <w:r>
        <w:rPr>
          <w:rFonts w:ascii="Inter" w:cs="Inter" w:eastAsia="Inter" w:hAnsi="Inter"/>
          <w:color w:val="2F6BFF"/>
          <w:sz w:val="32"/>
          <w:szCs w:val="32"/>
        </w:rPr>
        <w:t xml:space="preserve">MODULE M12  ·  CLIENT PORTAL</w:t>
      </w:r>
    </w:p>
    <w:p>
      <w:pPr>
        <w:pBdr>
          <w:bottom w:val="single" w:color="19D3C5" w:sz="8" w:space="16"/>
        </w:pBdr>
        <w:spacing w:after="400"/>
        <w:jc w:val="center"/>
      </w:pPr>
      <w:r>
        <w:rPr>
          <w:rFonts w:ascii="Inter" w:cs="Inter" w:eastAsia="Inter" w:hAnsi="Inter"/>
          <w:color w:val="0B1437"/>
          <w:sz w:val="28"/>
          <w:szCs w:val="28"/>
        </w:rPr>
        <w:t xml:space="preserve">Consolidated Discovery Questionnaire</w:t>
      </w:r>
    </w:p>
    <w:p>
      <w:pPr>
        <w:spacing w:after="60"/>
        <w:jc w:val="center"/>
      </w:pPr>
      <w:r>
        <w:rPr>
          <w:rFonts w:ascii="Inter" w:cs="Inter" w:eastAsia="Inter" w:hAnsi="Inter"/>
          <w:color w:val="666666"/>
          <w:sz w:val="22"/>
          <w:szCs w:val="22"/>
        </w:rPr>
        <w:t xml:space="preserve">Phase 1 — Tenant Foundation</w:t>
      </w:r>
    </w:p>
    <w:p>
      <w:pPr>
        <w:spacing w:after="60"/>
        <w:jc w:val="center"/>
      </w:pPr>
      <w:r>
        <w:rPr>
          <w:rFonts w:ascii="Inter" w:cs="Inter" w:eastAsia="Inter" w:hAnsi="Inter"/>
          <w:color w:val="666666"/>
          <w:sz w:val="22"/>
          <w:szCs w:val="22"/>
        </w:rPr>
        <w:t xml:space="preserve">April 2026</w:t>
      </w:r>
    </w:p>
    <w:p>
      <w:pPr>
        <w:spacing w:after="400"/>
        <w:jc w:val="center"/>
      </w:pPr>
      <w:r>
        <w:rPr>
          <w:rFonts w:ascii="Inter" w:cs="Inter" w:eastAsia="Inter" w:hAnsi="Inter"/>
          <w:b/>
          <w:bCs/>
          <w:color w:val="2F6BFF"/>
          <w:sz w:val="22"/>
          <w:szCs w:val="22"/>
        </w:rPr>
        <w:t xml:space="preserve">Target Go-Live: 14 March 2027</w:t>
      </w:r>
    </w:p>
    <w:p>
      <w:pPr>
        <w:spacing w:after="200"/>
      </w:pPr>
      <w:r>
        <w:rPr>
          <w:rFonts w:ascii="Inter" w:cs="Inter" w:eastAsia="Inter" w:hAnsi="Inter"/>
          <w:b/>
          <w:bCs/>
          <w:color w:val="0B1437"/>
          <w:sz w:val="26"/>
          <w:szCs w:val="26"/>
        </w:rPr>
        <w:t xml:space="preserve">How to Use This Document</w:t>
      </w:r>
    </w:p>
    <w:p>
      <w:pPr>
        <w:spacing w:after="120"/>
      </w:pPr>
      <w:r>
        <w:rPr>
          <w:rFonts w:ascii="Inter" w:cs="Inter" w:eastAsia="Inter" w:hAnsi="Inter"/>
          <w:color w:val="333333"/>
          <w:sz w:val="20"/>
          <w:szCs w:val="20"/>
        </w:rPr>
        <w:t xml:space="preserve">This questionnaire consolidates all M12 Client Portal discovery questions. Pre-filled answers (blue italic) are sourced from the BRD v1.0. Mark Y to confirm or N to correct. For blank responses, provide your answer.</w:t>
      </w:r>
    </w:p>
    <w:p>
      <w:r>
        <w:br w:type="page"/>
      </w:r>
    </w:p>
    <w:p>
      <w:pPr>
        <w:pStyle w:val="Heading2"/>
        <w:spacing w:after="200" w:before="360"/>
      </w:pPr>
      <w:r>
        <w:rPr>
          <w:rFonts w:ascii="Inter" w:cs="Inter" w:eastAsia="Inter" w:hAnsi="Inter"/>
          <w:b/>
          <w:bCs/>
          <w:color w:val="0B1437"/>
          <w:sz w:val="28"/>
          <w:szCs w:val="28"/>
        </w:rPr>
        <w:t xml:space="preserve">1. Audience &amp; Scope</w:t>
      </w:r>
    </w:p>
    <w:p>
      <w:pPr>
        <w:spacing w:after="200"/>
      </w:pPr>
      <w:r>
        <w:rPr>
          <w:rFonts w:ascii="Inter" w:cs="Inter" w:eastAsia="Inter" w:hAnsi="Inter"/>
          <w:i/>
          <w:iCs/>
          <w:color w:val="666666"/>
          <w:sz w:val="20"/>
          <w:szCs w:val="20"/>
        </w:rPr>
        <w:t xml:space="preserve">Confirm who uses the client portal and what they need.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80"/>
        <w:gridCol w:w="38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Response / Pre-filled from BRD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Confirm
(Y/N)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1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Who are the client portal users: client HR, client finance, client managers, end-employees?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Role-aware home page with KPIs and quick actions (FR-M12-001). Client Admin, Client HR, Client Dept Manager, Client Employee roles defined.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2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Should the portal be multi-tenant with full client branding?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Tenant branding within platform limits (FR-M12-002).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3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What information does each audience need: contracts, headcount, attendance, payroll, invoices, reports?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Persistent navigation to all available modules (FR-M12-003).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4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What self-service should clients perform without contacting Egybell?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Configure tenant (departments, users, roles) independently (US-M12-001).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200" w:before="360"/>
      </w:pPr>
      <w:r>
        <w:rPr>
          <w:rFonts w:ascii="Inter" w:cs="Inter" w:eastAsia="Inter" w:hAnsi="Inter"/>
          <w:b/>
          <w:bCs/>
          <w:color w:val="0B1437"/>
          <w:sz w:val="28"/>
          <w:szCs w:val="28"/>
        </w:rPr>
        <w:t xml:space="preserve">2. ATS Sub-Portal</w:t>
      </w:r>
    </w:p>
    <w:p>
      <w:pPr>
        <w:spacing w:after="200"/>
      </w:pPr>
      <w:r>
        <w:rPr>
          <w:rFonts w:ascii="Inter" w:cs="Inter" w:eastAsia="Inter" w:hAnsi="Inter"/>
          <w:i/>
          <w:iCs/>
          <w:color w:val="666666"/>
          <w:sz w:val="20"/>
          <w:szCs w:val="20"/>
        </w:rPr>
        <w:t xml:space="preserve">Confirm client hiring request and shortlist approval workflows.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80"/>
        <w:gridCol w:w="38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Response / Pre-filled from BRD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Confirm
(Y/N)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1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Should clients submit hiring requests directly through the portal?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Yes — hiring request submission, cloning, status tracking (FR-M12-001).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2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What shortlist review and approval workflow should clients have?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Shortlist review and approval by Hiring Managers (FR-M12-002). SLA health per request (FR-M12-003).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3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Can clients cancel requests, and what reason codes are needed?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Yes — cancel with reason (FR-M12-004).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4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What SLA visibility should clients have?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SLA dashboards at tenant, department, and request level (FR-M12-003). Target: 100% SLA visibility at go-live.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200" w:before="360"/>
      </w:pPr>
      <w:r>
        <w:rPr>
          <w:rFonts w:ascii="Inter" w:cs="Inter" w:eastAsia="Inter" w:hAnsi="Inter"/>
          <w:b/>
          <w:bCs/>
          <w:color w:val="0B1437"/>
          <w:sz w:val="28"/>
          <w:szCs w:val="28"/>
        </w:rPr>
        <w:t xml:space="preserve">3. Outsourced Employee Directory</w:t>
      </w:r>
    </w:p>
    <w:p>
      <w:pPr>
        <w:spacing w:after="200"/>
      </w:pPr>
      <w:r>
        <w:rPr>
          <w:rFonts w:ascii="Inter" w:cs="Inter" w:eastAsia="Inter" w:hAnsi="Inter"/>
          <w:i/>
          <w:iCs/>
          <w:color w:val="666666"/>
          <w:sz w:val="20"/>
          <w:szCs w:val="20"/>
        </w:rPr>
        <w:t xml:space="preserve">Confirm what client sees for outsourced employees.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80"/>
        <w:gridCol w:w="38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Response / Pre-filled from BRD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Confirm
(Y/N)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1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What employee data should be visible to the client (name, role, department, attendance)?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Outsourced employee PII always masked (BR-M12-002). Salary, bank, national ID, family hidden.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2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Can the client raise data corrections for outsourced employees?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Only via change-request workflow to Egybell HR (from M1 FR-M1-006).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3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Should attendance and leave data for outsourced staff be visible to the client?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200" w:before="360"/>
      </w:pPr>
      <w:r>
        <w:rPr>
          <w:rFonts w:ascii="Inter" w:cs="Inter" w:eastAsia="Inter" w:hAnsi="Inter"/>
          <w:b/>
          <w:bCs/>
          <w:color w:val="0B1437"/>
          <w:sz w:val="28"/>
          <w:szCs w:val="28"/>
        </w:rPr>
        <w:t xml:space="preserve">4. Invoices &amp; SLAs</w:t>
      </w:r>
    </w:p>
    <w:p>
      <w:pPr>
        <w:spacing w:after="200"/>
      </w:pPr>
      <w:r>
        <w:rPr>
          <w:rFonts w:ascii="Inter" w:cs="Inter" w:eastAsia="Inter" w:hAnsi="Inter"/>
          <w:i/>
          <w:iCs/>
          <w:color w:val="666666"/>
          <w:sz w:val="20"/>
          <w:szCs w:val="20"/>
        </w:rPr>
        <w:t xml:space="preserve">Confirm invoice visibility, approval, and dispute workflows.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80"/>
        <w:gridCol w:w="38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Response / Pre-filled from BRD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Confirm
(Y/N)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1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Should invoices be displayed with line-item detail?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Yes — invoice display with line-item detail (FR-M12-001).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2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What invoice approval and dispute workflow should the client have?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Invoice approval required before payment execution (BR-M12-003). Dispute workflows supported (FR-M12-002).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3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What SLA dashboards should be available?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SLA dashboards must reflect latest ATS state within 1 minute (BR-M12-004).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4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Should support ticket integration be available in the portal?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Support ticket integration in scope.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200" w:before="360"/>
      </w:pPr>
      <w:r>
        <w:rPr>
          <w:rFonts w:ascii="Inter" w:cs="Inter" w:eastAsia="Inter" w:hAnsi="Inter"/>
          <w:b/>
          <w:bCs/>
          <w:color w:val="0B1437"/>
          <w:sz w:val="28"/>
          <w:szCs w:val="28"/>
        </w:rPr>
        <w:t xml:space="preserve">5. Communication &amp; Adoption</w:t>
      </w:r>
    </w:p>
    <w:p>
      <w:pPr>
        <w:spacing w:after="200"/>
      </w:pPr>
      <w:r>
        <w:rPr>
          <w:rFonts w:ascii="Inter" w:cs="Inter" w:eastAsia="Inter" w:hAnsi="Inter"/>
          <w:i/>
          <w:iCs/>
          <w:color w:val="666666"/>
          <w:sz w:val="20"/>
          <w:szCs w:val="20"/>
        </w:rPr>
        <w:t xml:space="preserve">Confirm client communication channels and adoption strategy.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80"/>
        <w:gridCol w:w="38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Response / Pre-filled from BRD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Confirm
(Y/N)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1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What client communications should be hosted in the portal (announcements, tickets, document exchange)?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2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How are client escalations managed today?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3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What is the client adoption target?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Baseline 0%. Target &gt;=85% at go-live, &gt;=95% at +6 months. NPS target &gt;=40 (from 20 today).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4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How is client satisfaction measured today?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200" w:before="360"/>
      </w:pPr>
      <w:r>
        <w:rPr>
          <w:rFonts w:ascii="Inter" w:cs="Inter" w:eastAsia="Inter" w:hAnsi="Inter"/>
          <w:b/>
          <w:bCs/>
          <w:color w:val="0B1437"/>
          <w:sz w:val="28"/>
          <w:szCs w:val="28"/>
        </w:rPr>
        <w:t xml:space="preserve">Sign-Off</w:t>
      </w:r>
    </w:p>
    <w:p>
      <w:pPr>
        <w:spacing w:after="200"/>
      </w:pPr>
      <w:r>
        <w:rPr>
          <w:rFonts w:ascii="Inter" w:cs="Inter" w:eastAsia="Inter" w:hAnsi="Inter"/>
          <w:color w:val="333333"/>
          <w:sz w:val="20"/>
          <w:szCs w:val="20"/>
        </w:rPr>
        <w:t xml:space="preserve">By signing below, the named stakeholders confirm that they have reviewed and responded to all questions. Confirmed answers will be incorporated into the functional design. Items marked N will be investigated before design freeze.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Name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30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Title / Role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30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Department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30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Date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30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Signature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30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2" w:space="8"/>
      </w:pBdr>
      <w:jc w:val="center"/>
    </w:pPr>
    <w:r>
      <w:rPr>
        <w:rFonts w:ascii="Inter" w:cs="Inter" w:eastAsia="Inter" w:hAnsi="Inter"/>
        <w:color w:val="666666"/>
        <w:sz w:val="16"/>
        <w:szCs w:val="16"/>
      </w:rPr>
      <w:t xml:space="preserve">Confidential  |  Egybell Internal + Approved Reviewers  |  Page </w:t>
    </w:r>
    <w:r>
      <w:rPr>
        <w:rFonts w:ascii="Inter" w:cs="Inter" w:eastAsia="Inter" w:hAnsi="Inter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6BFF" w:sz="6" w:space="8"/>
      </w:pBdr>
      <w:spacing w:after="100"/>
      <w:jc w:val="left"/>
    </w:pPr>
    <w:r>
      <w:rPr>
        <w:rFonts w:ascii="Inter" w:cs="Inter" w:eastAsia="Inter" w:hAnsi="Inter"/>
        <w:b/>
        <w:bCs/>
        <w:color w:val="0B1437"/>
        <w:sz w:val="18"/>
        <w:szCs w:val="18"/>
      </w:rPr>
      <w:t xml:space="preserve">PRAXION HROS</w:t>
    </w:r>
    <w:r>
      <w:rPr>
        <w:rFonts w:ascii="Inter" w:cs="Inter" w:eastAsia="Inter" w:hAnsi="Inter"/>
        <w:color w:val="666666"/>
        <w:sz w:val="18"/>
        <w:szCs w:val="18"/>
      </w:rPr>
      <w:t xml:space="preserve">  |  M12 Client Portal  |  Discovery Questionnaire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Inter" w:cs="Inter" w:eastAsia="Inter" w:hAnsi="Inter"/>
      <w:b/>
      <w:bCs/>
      <w:color w:val="0B143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200" w:before="300"/>
      <w:outlineLvl w:val="1"/>
    </w:pPr>
    <w:rPr>
      <w:rFonts w:ascii="Inter" w:cs="Inter" w:eastAsia="Inter" w:hAnsi="Inter"/>
      <w:b/>
      <w:bCs/>
      <w:color w:val="0B143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2026-04-16T06:35:45.403Z</dcterms:created>
  <dcterms:modified xsi:type="dcterms:W3CDTF">2026-04-16T06:35:45.403Z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