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val="0"/>
          <w:color w:val="19D3C5"/>
          <w:sz w:val="12"/>
        </w:rPr>
        <w:t>━━━━━━━━━━━━━━━━━━━━━━━━━━━━━━━━━━━━━━━━━━━━━━━━━━━━━━━━━━━━━━━━━━━━━━━━━━━━━━━━</w:t>
      </w:r>
    </w:p>
    <w:p>
      <w:pPr>
        <w:spacing w:before="0" w:after="800"/>
        <w:jc w:val="left"/>
      </w:pPr>
      <w:r>
        <w:rPr>
          <w:rFonts w:ascii="Calibri" w:hAnsi="Calibri"/>
          <w:b w:val="0"/>
          <w:color w:val="0B1437"/>
          <w:sz w:val="12"/>
        </w:rPr>
      </w:r>
    </w:p>
    <w:p>
      <w:pPr>
        <w:spacing w:before="0" w:after="80"/>
        <w:jc w:val="left"/>
      </w:pPr>
      <w:r>
        <w:rPr>
          <w:rFonts w:ascii="Calibri" w:hAnsi="Calibri"/>
          <w:b/>
          <w:color w:val="19D3C5"/>
          <w:sz w:val="28"/>
        </w:rPr>
        <w:t>PRAXION HROS</w:t>
      </w:r>
    </w:p>
    <w:p>
      <w:pPr>
        <w:spacing w:before="0" w:after="40"/>
        <w:jc w:val="left"/>
      </w:pPr>
      <w:r>
        <w:rPr>
          <w:rFonts w:ascii="Calibri" w:hAnsi="Calibri"/>
          <w:b/>
          <w:color w:val="0B1437"/>
          <w:sz w:val="56"/>
        </w:rPr>
        <w:t>Discovery Phase Validation</w:t>
      </w:r>
    </w:p>
    <w:p>
      <w:pPr>
        <w:spacing w:before="0" w:after="400"/>
        <w:jc w:val="left"/>
      </w:pPr>
      <w:r>
        <w:rPr>
          <w:rFonts w:ascii="Calibri" w:hAnsi="Calibri"/>
          <w:b w:val="0"/>
          <w:color w:val="1E2A5E"/>
          <w:sz w:val="40"/>
        </w:rPr>
        <w:t>Stakeholder Questionnaire</w:t>
      </w:r>
    </w:p>
    <w:tbl>
      <w:tblPr>
        <w:tblStyle w:val="TableGrid"/>
        <w:tblW w:type="auto" w:w="0"/>
        <w:tblLook w:firstColumn="1" w:firstRow="1" w:lastColumn="0" w:lastRow="0" w:noHBand="0" w:noVBand="1" w:val="04A0"/>
      </w:tblPr>
      <w:tblGrid>
        <w:gridCol w:w="4824"/>
        <w:gridCol w:w="4824"/>
      </w:tblGrid>
      <w:tr>
        <w:tc>
          <w:tcPr>
            <w:tcW w:type="dxa" w:w="2592"/>
            <w:shd w:val="clear" w:color="auto" w:fill="E8ECF3"/>
          </w:tcPr>
          <w:p>
            <w:r>
              <w:rPr>
                <w:rFonts w:ascii="Calibri" w:hAnsi="Calibri"/>
                <w:b/>
                <w:color w:val="0B1437"/>
                <w:sz w:val="20"/>
              </w:rPr>
              <w:t>Department:</w:t>
            </w:r>
          </w:p>
        </w:tc>
        <w:tc>
          <w:tcPr>
            <w:tcW w:type="dxa" w:w="7200"/>
          </w:tcPr>
          <w:p>
            <w:r>
              <w:rPr>
                <w:rFonts w:ascii="Calibri" w:hAnsi="Calibri"/>
                <w:b w:val="0"/>
                <w:color w:val="0B1437"/>
                <w:sz w:val="20"/>
              </w:rPr>
              <w:t>Personnel / People Affairs</w:t>
            </w:r>
          </w:p>
        </w:tc>
      </w:tr>
      <w:tr>
        <w:tc>
          <w:tcPr>
            <w:tcW w:type="dxa" w:w="2592"/>
            <w:shd w:val="clear" w:color="auto" w:fill="E8ECF3"/>
          </w:tcPr>
          <w:p>
            <w:r>
              <w:rPr>
                <w:rFonts w:ascii="Calibri" w:hAnsi="Calibri"/>
                <w:b/>
                <w:color w:val="0B1437"/>
                <w:sz w:val="20"/>
              </w:rPr>
              <w:t>Addressed To:</w:t>
            </w:r>
          </w:p>
        </w:tc>
        <w:tc>
          <w:tcPr>
            <w:tcW w:type="dxa" w:w="7200"/>
          </w:tcPr>
          <w:p>
            <w:r>
              <w:rPr>
                <w:rFonts w:ascii="Calibri" w:hAnsi="Calibri"/>
                <w:b w:val="0"/>
                <w:color w:val="0B1437"/>
                <w:sz w:val="20"/>
              </w:rPr>
              <w:t>Head of Personnel / People Affairs Manager</w:t>
            </w:r>
          </w:p>
        </w:tc>
      </w:tr>
      <w:tr>
        <w:tc>
          <w:tcPr>
            <w:tcW w:type="dxa" w:w="2592"/>
            <w:shd w:val="clear" w:color="auto" w:fill="E8ECF3"/>
          </w:tcPr>
          <w:p>
            <w:r>
              <w:rPr>
                <w:rFonts w:ascii="Calibri" w:hAnsi="Calibri"/>
                <w:b/>
                <w:color w:val="0B1437"/>
                <w:sz w:val="20"/>
              </w:rPr>
              <w:t>Modules Covered:</w:t>
            </w:r>
          </w:p>
        </w:tc>
        <w:tc>
          <w:tcPr>
            <w:tcW w:type="dxa" w:w="7200"/>
          </w:tcPr>
          <w:p>
            <w:r>
              <w:rPr>
                <w:rFonts w:ascii="Calibri" w:hAnsi="Calibri"/>
                <w:b w:val="0"/>
                <w:color w:val="0B1437"/>
                <w:sz w:val="20"/>
              </w:rPr>
              <w:t>Cross-cutting: M1 Core HRIS, M3 Onboarding/Offboarding, M4 Performance, M5 Training, M7 Benefits</w:t>
            </w:r>
          </w:p>
        </w:tc>
      </w:tr>
      <w:tr>
        <w:tc>
          <w:tcPr>
            <w:tcW w:type="dxa" w:w="2592"/>
            <w:shd w:val="clear" w:color="auto" w:fill="E8ECF3"/>
          </w:tcPr>
          <w:p>
            <w:r>
              <w:rPr>
                <w:rFonts w:ascii="Calibri" w:hAnsi="Calibri"/>
                <w:b/>
                <w:color w:val="0B1437"/>
                <w:sz w:val="20"/>
              </w:rPr>
              <w:t>Date:</w:t>
            </w:r>
          </w:p>
        </w:tc>
        <w:tc>
          <w:tcPr>
            <w:tcW w:type="dxa" w:w="7200"/>
          </w:tcPr>
          <w:p>
            <w:r>
              <w:rPr>
                <w:rFonts w:ascii="Calibri" w:hAnsi="Calibri"/>
                <w:b w:val="0"/>
                <w:color w:val="0B1437"/>
                <w:sz w:val="20"/>
              </w:rPr>
              <w:t>April 2026</w:t>
            </w:r>
          </w:p>
        </w:tc>
      </w:tr>
    </w:tbl>
    <w:p>
      <w:pPr>
        <w:spacing w:before="0" w:after="240"/>
        <w:jc w:val="left"/>
      </w:pPr>
      <w:r>
        <w:rPr>
          <w:rFonts w:ascii="Calibri" w:hAnsi="Calibri"/>
          <w:b w:val="0"/>
          <w:color w:val="0B1437"/>
          <w:sz w:val="12"/>
        </w:rPr>
      </w:r>
    </w:p>
    <w:p>
      <w:pPr>
        <w:pStyle w:val="Heading1"/>
      </w:pPr>
      <w:r>
        <w:rPr>
          <w:rFonts w:ascii="Calibri" w:hAnsi="Calibri"/>
          <w:color w:val="0B1437"/>
        </w:rPr>
        <w:t>Introduction</w:t>
      </w:r>
    </w:p>
    <w:p>
      <w:pPr>
        <w:spacing w:before="0" w:after="160"/>
        <w:jc w:val="left"/>
      </w:pPr>
      <w:r>
        <w:rPr>
          <w:rFonts w:ascii="Calibri" w:hAnsi="Calibri"/>
          <w:b w:val="0"/>
          <w:color w:val="6B7A99"/>
          <w:sz w:val="21"/>
        </w:rPr>
        <w:t>As part of the Praxion HROS discovery phase completion, we are seeking your validation on the people operations, employee lifecycle, and day-to-day personnel management requirements. Your hands-on knowledge of current processes, pain points, and employee needs is essential to ensure the system serves your team effectively.</w:t>
      </w:r>
    </w:p>
    <w:p>
      <w:pPr>
        <w:spacing w:before="0" w:after="240"/>
        <w:jc w:val="left"/>
      </w:pPr>
      <w:r>
        <w:rPr>
          <w:rFonts w:ascii="Calibri" w:hAnsi="Calibri"/>
          <w:b w:val="0"/>
          <w:color w:val="6B7A99"/>
          <w:sz w:val="21"/>
        </w:rPr>
        <w:t>Please review each section carefully and provide your confirmation or suggested changes. Where you agree with the current definition, mark 'Y' in the Confirmed column. Where you have changes or additions, mark 'N' and provide details in the Comments column.</w:t>
      </w:r>
    </w:p>
    <w:p>
      <w:r>
        <w:br w:type="page"/>
      </w:r>
    </w:p>
    <w:p>
      <w:pPr>
        <w:pStyle w:val="Heading1"/>
      </w:pPr>
      <w:r>
        <w:rPr>
          <w:rFonts w:ascii="Calibri" w:hAnsi="Calibri"/>
          <w:color w:val="0B1437"/>
        </w:rPr>
        <w:t>1. Employee Lifecycle Management</w:t>
      </w:r>
    </w:p>
    <w:p>
      <w:pPr>
        <w:spacing w:before="0" w:after="160"/>
        <w:jc w:val="left"/>
      </w:pPr>
      <w:r>
        <w:rPr>
          <w:rFonts w:ascii="Calibri" w:hAnsi="Calibri"/>
          <w:b w:val="0"/>
          <w:color w:val="6B7A99"/>
          <w:sz w:val="21"/>
        </w:rPr>
        <w:t>Please validate that the following employee lifecycle processes are accurately captured: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Employee data fields (personal, employment, emergency contacts, dependents) are complete in Core HRIS (M1)</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Hiring workflow (requisition → offer → contract → onboarding) covers all required steps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Onboarding checklists include all departments (IT, facilities, HR, finance, team) per M3</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Internal transfer and promotion workflows capture all approval steps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Offboarding process includes exit interview, knowledge transfer, asset return, and final settlement</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6</w:t>
            </w:r>
          </w:p>
        </w:tc>
        <w:tc>
          <w:tcPr>
            <w:tcW w:type="dxa" w:w="2412"/>
          </w:tcPr>
          <w:p>
            <w:pPr>
              <w:spacing w:after="40" w:before="40"/>
            </w:pPr>
            <w:r>
              <w:rPr>
                <w:rFonts w:ascii="Calibri" w:hAnsi="Calibri"/>
                <w:sz w:val="18"/>
              </w:rPr>
              <w:t>Employee status changes (active, on leave, suspended, terminated) are properly tracked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7</w:t>
            </w:r>
          </w:p>
        </w:tc>
        <w:tc>
          <w:tcPr>
            <w:tcW w:type="dxa" w:w="2412"/>
          </w:tcPr>
          <w:p>
            <w:pPr>
              <w:spacing w:after="40" w:before="40"/>
            </w:pPr>
            <w:r>
              <w:rPr>
                <w:rFonts w:ascii="Calibri" w:hAnsi="Calibri"/>
                <w:sz w:val="18"/>
              </w:rPr>
              <w:t>Probation tracking and confirmation workflows are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Missing steps or workflows in the employee lifecycle: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2. Leave &amp; Attendance Management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Leave types (annual, sick, casual, maternity, paternity, unpaid, etc.) are all captured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Leave accrual rules (annual, carry-forward limits, encashment) are correctly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Leave approval workflows match your current process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Attendance tracking requirements (check-in/out, remote work, field staff) are specified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Holiday calendar management (national, religious, company-specific) is addressed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6</w:t>
            </w:r>
          </w:p>
        </w:tc>
        <w:tc>
          <w:tcPr>
            <w:tcW w:type="dxa" w:w="2412"/>
          </w:tcPr>
          <w:p>
            <w:pPr>
              <w:spacing w:after="40" w:before="40"/>
            </w:pPr>
            <w:r>
              <w:rPr>
                <w:rFonts w:ascii="Calibri" w:hAnsi="Calibri"/>
                <w:sz w:val="18"/>
              </w:rPr>
              <w:t>Leave balance visibility and self-service requests meet employee expectations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leave/attendance requirements or policy nuances: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3. Employee Relations &amp; Engagement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Employee grievance submission and tracking workflows are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Disciplinary action workflows (warning levels, PIP, termination) are captured in M4</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Employee satisfaction survey or feedback collection mechanisms are specified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Recognition and rewards workflows are addressed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Internal communication requirements (announcements, policy updates) are covered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employee relations requirements: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4. Personnel Records &amp; Documentation</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Required personnel documents (ID copies, contracts, certificates) are listed for M1</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Document expiry tracking and renewal alerts are specified (visa, work permit, certifications)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Personnel file structure and access controls meet your operational needs</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Letter generation requirements (employment verification, salary certificates, NOC) are captured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Historical record-keeping for transfers, promotions, and salary changes is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documentation or record-keeping requirements: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5. Training &amp; Development Needs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2412"/>
          </w:tcPr>
          <w:p>
            <w:pPr>
              <w:spacing w:after="40" w:before="40"/>
            </w:pPr>
            <w:r>
              <w:rPr>
                <w:rFonts w:ascii="Calibri" w:hAnsi="Calibri"/>
                <w:sz w:val="18"/>
              </w:rPr>
              <w:t>1</w:t>
            </w:r>
          </w:p>
        </w:tc>
        <w:tc>
          <w:tcPr>
            <w:tcW w:type="dxa" w:w="2412"/>
          </w:tcPr>
          <w:p>
            <w:pPr>
              <w:spacing w:after="40" w:before="40"/>
            </w:pPr>
            <w:r>
              <w:rPr>
                <w:rFonts w:ascii="Calibri" w:hAnsi="Calibri"/>
                <w:sz w:val="18"/>
              </w:rPr>
              <w:t>Mandatory training requirements (compliance, safety, onboarding) are fully captured in M5</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2</w:t>
            </w:r>
          </w:p>
        </w:tc>
        <w:tc>
          <w:tcPr>
            <w:tcW w:type="dxa" w:w="2412"/>
          </w:tcPr>
          <w:p>
            <w:pPr>
              <w:spacing w:after="40" w:before="40"/>
            </w:pPr>
            <w:r>
              <w:rPr>
                <w:rFonts w:ascii="Calibri" w:hAnsi="Calibri"/>
                <w:sz w:val="18"/>
              </w:rPr>
              <w:t>Skill gap analysis and development planning workflows are defined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3</w:t>
            </w:r>
          </w:p>
        </w:tc>
        <w:tc>
          <w:tcPr>
            <w:tcW w:type="dxa" w:w="2412"/>
          </w:tcPr>
          <w:p>
            <w:pPr>
              <w:spacing w:after="40" w:before="40"/>
            </w:pPr>
            <w:r>
              <w:rPr>
                <w:rFonts w:ascii="Calibri" w:hAnsi="Calibri"/>
                <w:sz w:val="18"/>
              </w:rPr>
              <w:t>Training budget tracking and approval processes are specified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4</w:t>
            </w:r>
          </w:p>
        </w:tc>
        <w:tc>
          <w:tcPr>
            <w:tcW w:type="dxa" w:w="2412"/>
          </w:tcPr>
          <w:p>
            <w:pPr>
              <w:spacing w:after="40" w:before="40"/>
            </w:pPr>
            <w:r>
              <w:rPr>
                <w:rFonts w:ascii="Calibri" w:hAnsi="Calibri"/>
                <w:sz w:val="18"/>
              </w:rPr>
              <w:t>External training and certification reimbursement workflows are addressed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r>
        <w:tc>
          <w:tcPr>
            <w:tcW w:type="dxa" w:w="2412"/>
          </w:tcPr>
          <w:p>
            <w:pPr>
              <w:spacing w:after="40" w:before="40"/>
            </w:pPr>
            <w:r>
              <w:rPr>
                <w:rFonts w:ascii="Calibri" w:hAnsi="Calibri"/>
                <w:sz w:val="18"/>
              </w:rPr>
              <w:t>5</w:t>
            </w:r>
          </w:p>
        </w:tc>
        <w:tc>
          <w:tcPr>
            <w:tcW w:type="dxa" w:w="2412"/>
          </w:tcPr>
          <w:p>
            <w:pPr>
              <w:spacing w:after="40" w:before="40"/>
            </w:pPr>
            <w:r>
              <w:rPr>
                <w:rFonts w:ascii="Calibri" w:hAnsi="Calibri"/>
                <w:sz w:val="18"/>
              </w:rPr>
              <w:t>Training effectiveness measurement (feedback, assessments) is captured</w:t>
            </w:r>
          </w:p>
        </w:tc>
        <w:tc>
          <w:tcPr>
            <w:tcW w:type="dxa" w:w="2412"/>
          </w:tcPr>
          <w:p>
            <w:pPr>
              <w:spacing w:after="40" w:before="40"/>
            </w:pPr>
            <w:r>
              <w:rPr>
                <w:rFonts w:ascii="Calibri" w:hAnsi="Calibri"/>
                <w:sz w:val="18"/>
              </w:rPr>
            </w:r>
          </w:p>
        </w:tc>
        <w:tc>
          <w:tcPr>
            <w:tcW w:type="dxa" w:w="2412"/>
          </w:tcPr>
          <w:p>
            <w:pPr>
              <w:spacing w:after="40" w:before="40"/>
            </w:pPr>
            <w:r>
              <w:rPr>
                <w:rFonts w:ascii="Calibri" w:hAnsi="Calibri"/>
                <w:sz w:val="18"/>
              </w:rPr>
            </w:r>
          </w:p>
        </w:tc>
      </w:tr>
    </w:tbl>
    <w:p>
      <w:pPr>
        <w:spacing w:before="120" w:after="120"/>
        <w:jc w:val="left"/>
      </w:pPr>
      <w:r>
        <w:rPr>
          <w:rFonts w:ascii="Calibri" w:hAnsi="Calibri"/>
          <w:b/>
          <w:color w:val="2F6BFF"/>
          <w:sz w:val="20"/>
        </w:rPr>
        <w:t>Additional training or development requirements: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1"/>
      </w:pPr>
      <w:r>
        <w:rPr>
          <w:rFonts w:ascii="Calibri" w:hAnsi="Calibri"/>
          <w:color w:val="0B1437"/>
        </w:rPr>
        <w:t>6. Current Process Pain Points</w:t>
      </w:r>
    </w:p>
    <w:p>
      <w:pPr>
        <w:spacing w:before="120" w:after="120"/>
        <w:jc w:val="left"/>
      </w:pPr>
      <w:r>
        <w:rPr>
          <w:rFonts w:ascii="Calibri" w:hAnsi="Calibri"/>
          <w:b/>
          <w:color w:val="2F6BFF"/>
          <w:sz w:val="20"/>
        </w:rPr>
        <w:t>What are the top 3-5 pain points in your current personnel management processes?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p>
            <w:pPr>
              <w:spacing w:after="160"/>
            </w:pPr>
          </w:p>
        </w:tc>
      </w:tr>
    </w:tbl>
    <w:p>
      <w:pPr>
        <w:spacing w:before="120" w:after="120"/>
        <w:jc w:val="left"/>
      </w:pPr>
      <w:r>
        <w:rPr>
          <w:rFonts w:ascii="Calibri" w:hAnsi="Calibri"/>
          <w:b/>
          <w:color w:val="2F6BFF"/>
          <w:sz w:val="20"/>
        </w:rPr>
        <w:t>Which manual tasks consume the most time that you would like automated?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What reporting or analytics do you currently lack but urgently need?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employee adoption of the new system?</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Sign-Off</w:t>
      </w:r>
    </w:p>
    <w:p>
      <w:pPr>
        <w:spacing w:before="0" w:after="320"/>
        <w:jc w:val="left"/>
      </w:pPr>
      <w:r>
        <w:rPr>
          <w:rFonts w:ascii="Calibri" w:hAnsi="Calibri"/>
          <w:b w:val="0"/>
          <w:color w:val="6B7A99"/>
          <w:sz w:val="21"/>
        </w:rPr>
        <w:t>By signing below, I confirm that I have reviewed the discovery phase outputs for the areas listed above and provided my feedback. I understand that approved items will proceed to the build phase as defined.</w:t>
      </w:r>
    </w:p>
    <w:tbl>
      <w:tblPr>
        <w:tblStyle w:val="TableGrid"/>
        <w:tblW w:type="auto" w:w="0"/>
        <w:tblLook w:firstColumn="1" w:firstRow="1" w:lastColumn="0" w:lastRow="0" w:noHBand="0" w:noVBand="1" w:val="04A0"/>
      </w:tblPr>
      <w:tblGrid>
        <w:gridCol w:w="4824"/>
        <w:gridCol w:w="4824"/>
      </w:tblGrid>
      <w:tr>
        <w:tc>
          <w:tcPr>
            <w:tcW w:type="dxa" w:w="2160"/>
            <w:shd w:val="clear" w:color="auto" w:fill="E8ECF3"/>
          </w:tcPr>
          <w:p>
            <w:r>
              <w:rPr>
                <w:rFonts w:ascii="Calibri" w:hAnsi="Calibri"/>
                <w:b/>
                <w:sz w:val="20"/>
              </w:rPr>
              <w:t>Name:</w:t>
            </w:r>
          </w:p>
        </w:tc>
        <w:tc>
          <w:tcPr>
            <w:tcW w:type="dxa" w:w="7488"/>
          </w:tcPr>
          <w:p/>
        </w:tc>
      </w:tr>
      <w:tr>
        <w:tc>
          <w:tcPr>
            <w:tcW w:type="dxa" w:w="2160"/>
            <w:shd w:val="clear" w:color="auto" w:fill="E8ECF3"/>
          </w:tcPr>
          <w:p>
            <w:r>
              <w:rPr>
                <w:rFonts w:ascii="Calibri" w:hAnsi="Calibri"/>
                <w:b/>
                <w:sz w:val="20"/>
              </w:rPr>
              <w:t>Title / Role:</w:t>
            </w:r>
          </w:p>
        </w:tc>
        <w:tc>
          <w:tcPr>
            <w:tcW w:type="dxa" w:w="7488"/>
          </w:tcPr>
          <w:p/>
        </w:tc>
      </w:tr>
      <w:tr>
        <w:tc>
          <w:tcPr>
            <w:tcW w:type="dxa" w:w="2160"/>
            <w:shd w:val="clear" w:color="auto" w:fill="E8ECF3"/>
          </w:tcPr>
          <w:p>
            <w:r>
              <w:rPr>
                <w:rFonts w:ascii="Calibri" w:hAnsi="Calibri"/>
                <w:b/>
                <w:sz w:val="20"/>
              </w:rPr>
              <w:t>Signature:</w:t>
            </w:r>
          </w:p>
        </w:tc>
        <w:tc>
          <w:tcPr>
            <w:tcW w:type="dxa" w:w="7488"/>
          </w:tcPr>
          <w:p>
            <w:pPr>
              <w:spacing w:after="600"/>
            </w:pPr>
          </w:p>
        </w:tc>
      </w:tr>
      <w:tr>
        <w:tc>
          <w:tcPr>
            <w:tcW w:type="dxa" w:w="2160"/>
            <w:shd w:val="clear" w:color="auto" w:fill="E8ECF3"/>
          </w:tcPr>
          <w:p>
            <w:r>
              <w:rPr>
                <w:rFonts w:ascii="Calibri" w:hAnsi="Calibri"/>
                <w:b/>
                <w:sz w:val="20"/>
              </w:rPr>
              <w:t>Date:</w:t>
            </w:r>
          </w:p>
        </w:tc>
        <w:tc>
          <w:tcPr>
            <w:tcW w:type="dxa" w:w="7488"/>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14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