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rFonts w:ascii="Calibri" w:hAnsi="Calibri"/>
          <w:b/>
          <w:color w:val="0B1437"/>
          <w:sz w:val="64"/>
        </w:rPr>
        <w:t>USER ACCESS POLICY</w:t>
      </w:r>
    </w:p>
    <w:p>
      <w:r>
        <w:rPr>
          <w:color w:val="6B7A99"/>
          <w:sz w:val="26"/>
        </w:rPr>
        <w:t>Praxion HROS  |  Identity, Access &amp; Authorisation Governance</w:t>
      </w:r>
    </w:p>
    <w:p/>
    <w:tbl>
      <w:tblPr>
        <w:tblW w:type="auto" w:w="0"/>
        <w:tblLayout w:type="fixed"/>
        <w:tblLook w:firstColumn="1" w:firstRow="1" w:lastColumn="0" w:lastRow="0" w:noHBand="0" w:noVBand="1" w:val="04A0"/>
      </w:tblPr>
      <w:tblGrid>
        <w:gridCol w:w="2304"/>
        <w:gridCol w:w="6912"/>
      </w:tblGrid>
      <w:tr>
        <w:tc>
          <w:tcPr>
            <w:tcW w:type="dxa" w:w="4873"/>
            <w:shd w:val="clear" w:color="auto" w:fill="0B1437"/>
            <w:tcBorders>
              <w:top w:val="single" w:sz="4" w:color="0B1437"/>
              <w:left w:val="single" w:sz="4" w:color="0B1437"/>
              <w:bottom w:val="single" w:sz="4" w:color="0B1437"/>
              <w:right w:val="single" w:sz="4" w:color="0B1437"/>
            </w:tcBorders>
          </w:tcPr>
          <w:p>
            <w:r/>
            <w:r>
              <w:rPr>
                <w:b/>
                <w:color w:val="FFFFFF"/>
                <w:sz w:val="19"/>
              </w:rPr>
              <w:t>Document ID</w:t>
            </w:r>
          </w:p>
        </w:tc>
        <w:tc>
          <w:tcPr>
            <w:tcW w:type="dxa" w:w="4873"/>
            <w:shd w:val="clear" w:color="auto" w:fill="F5F7FA"/>
            <w:tcBorders>
              <w:top w:val="single" w:sz="4" w:color="B7C0D6"/>
              <w:left w:val="single" w:sz="4" w:color="B7C0D6"/>
              <w:bottom w:val="single" w:sz="4" w:color="B7C0D6"/>
              <w:right w:val="single" w:sz="4" w:color="B7C0D6"/>
            </w:tcBorders>
          </w:tcPr>
          <w:p>
            <w:r/>
            <w:r>
              <w:rPr>
                <w:color w:val="1A223A"/>
                <w:sz w:val="19"/>
              </w:rPr>
              <w:t>PRX-SEC-POL-001</w:t>
            </w:r>
          </w:p>
        </w:tc>
      </w:tr>
      <w:tr>
        <w:tc>
          <w:tcPr>
            <w:tcW w:type="dxa" w:w="4873"/>
            <w:shd w:val="clear" w:color="auto" w:fill="0B1437"/>
            <w:tcBorders>
              <w:top w:val="single" w:sz="4" w:color="0B1437"/>
              <w:left w:val="single" w:sz="4" w:color="0B1437"/>
              <w:bottom w:val="single" w:sz="4" w:color="0B1437"/>
              <w:right w:val="single" w:sz="4" w:color="0B1437"/>
            </w:tcBorders>
          </w:tcPr>
          <w:p>
            <w:r/>
            <w:r>
              <w:rPr>
                <w:b/>
                <w:color w:val="FFFFFF"/>
                <w:sz w:val="19"/>
              </w:rPr>
              <w:t>Version</w:t>
            </w:r>
          </w:p>
        </w:tc>
        <w:tc>
          <w:tcPr>
            <w:tcW w:type="dxa" w:w="4873"/>
            <w:shd w:val="clear" w:color="auto" w:fill="F5F7FA"/>
            <w:tcBorders>
              <w:top w:val="single" w:sz="4" w:color="B7C0D6"/>
              <w:left w:val="single" w:sz="4" w:color="B7C0D6"/>
              <w:bottom w:val="single" w:sz="4" w:color="B7C0D6"/>
              <w:right w:val="single" w:sz="4" w:color="B7C0D6"/>
            </w:tcBorders>
          </w:tcPr>
          <w:p>
            <w:r/>
            <w:r>
              <w:rPr>
                <w:color w:val="1A223A"/>
                <w:sz w:val="19"/>
              </w:rPr>
              <w:t>1.0 (Draft for Approval)</w:t>
            </w:r>
          </w:p>
        </w:tc>
      </w:tr>
      <w:tr>
        <w:tc>
          <w:tcPr>
            <w:tcW w:type="dxa" w:w="4873"/>
            <w:shd w:val="clear" w:color="auto" w:fill="0B1437"/>
            <w:tcBorders>
              <w:top w:val="single" w:sz="4" w:color="0B1437"/>
              <w:left w:val="single" w:sz="4" w:color="0B1437"/>
              <w:bottom w:val="single" w:sz="4" w:color="0B1437"/>
              <w:right w:val="single" w:sz="4" w:color="0B1437"/>
            </w:tcBorders>
          </w:tcPr>
          <w:p>
            <w:r/>
            <w:r>
              <w:rPr>
                <w:b/>
                <w:color w:val="FFFFFF"/>
                <w:sz w:val="19"/>
              </w:rPr>
              <w:t>Classification</w:t>
            </w:r>
          </w:p>
        </w:tc>
        <w:tc>
          <w:tcPr>
            <w:tcW w:type="dxa" w:w="4873"/>
            <w:shd w:val="clear" w:color="auto" w:fill="F5F7FA"/>
            <w:tcBorders>
              <w:top w:val="single" w:sz="4" w:color="B7C0D6"/>
              <w:left w:val="single" w:sz="4" w:color="B7C0D6"/>
              <w:bottom w:val="single" w:sz="4" w:color="B7C0D6"/>
              <w:right w:val="single" w:sz="4" w:color="B7C0D6"/>
            </w:tcBorders>
          </w:tcPr>
          <w:p>
            <w:r/>
            <w:r>
              <w:rPr>
                <w:color w:val="1A223A"/>
                <w:sz w:val="19"/>
              </w:rPr>
              <w:t>Internal — Restricted</w:t>
            </w:r>
          </w:p>
        </w:tc>
      </w:tr>
      <w:tr>
        <w:tc>
          <w:tcPr>
            <w:tcW w:type="dxa" w:w="4873"/>
            <w:shd w:val="clear" w:color="auto" w:fill="0B1437"/>
            <w:tcBorders>
              <w:top w:val="single" w:sz="4" w:color="0B1437"/>
              <w:left w:val="single" w:sz="4" w:color="0B1437"/>
              <w:bottom w:val="single" w:sz="4" w:color="0B1437"/>
              <w:right w:val="single" w:sz="4" w:color="0B1437"/>
            </w:tcBorders>
          </w:tcPr>
          <w:p>
            <w:r/>
            <w:r>
              <w:rPr>
                <w:b/>
                <w:color w:val="FFFFFF"/>
                <w:sz w:val="19"/>
              </w:rPr>
              <w:t>Owner</w:t>
            </w:r>
          </w:p>
        </w:tc>
        <w:tc>
          <w:tcPr>
            <w:tcW w:type="dxa" w:w="4873"/>
            <w:shd w:val="clear" w:color="auto" w:fill="F5F7FA"/>
            <w:tcBorders>
              <w:top w:val="single" w:sz="4" w:color="B7C0D6"/>
              <w:left w:val="single" w:sz="4" w:color="B7C0D6"/>
              <w:bottom w:val="single" w:sz="4" w:color="B7C0D6"/>
              <w:right w:val="single" w:sz="4" w:color="B7C0D6"/>
            </w:tcBorders>
          </w:tcPr>
          <w:p>
            <w:r/>
            <w:r>
              <w:rPr>
                <w:color w:val="1A223A"/>
                <w:sz w:val="19"/>
              </w:rPr>
              <w:t>Head of Information Security, Egybell</w:t>
            </w:r>
          </w:p>
        </w:tc>
      </w:tr>
      <w:tr>
        <w:tc>
          <w:tcPr>
            <w:tcW w:type="dxa" w:w="4873"/>
            <w:shd w:val="clear" w:color="auto" w:fill="0B1437"/>
            <w:tcBorders>
              <w:top w:val="single" w:sz="4" w:color="0B1437"/>
              <w:left w:val="single" w:sz="4" w:color="0B1437"/>
              <w:bottom w:val="single" w:sz="4" w:color="0B1437"/>
              <w:right w:val="single" w:sz="4" w:color="0B1437"/>
            </w:tcBorders>
          </w:tcPr>
          <w:p>
            <w:r/>
            <w:r>
              <w:rPr>
                <w:b/>
                <w:color w:val="FFFFFF"/>
                <w:sz w:val="19"/>
              </w:rPr>
              <w:t>Approver</w:t>
            </w:r>
          </w:p>
        </w:tc>
        <w:tc>
          <w:tcPr>
            <w:tcW w:type="dxa" w:w="4873"/>
            <w:shd w:val="clear" w:color="auto" w:fill="F5F7FA"/>
            <w:tcBorders>
              <w:top w:val="single" w:sz="4" w:color="B7C0D6"/>
              <w:left w:val="single" w:sz="4" w:color="B7C0D6"/>
              <w:bottom w:val="single" w:sz="4" w:color="B7C0D6"/>
              <w:right w:val="single" w:sz="4" w:color="B7C0D6"/>
            </w:tcBorders>
          </w:tcPr>
          <w:p>
            <w:r/>
            <w:r>
              <w:rPr>
                <w:color w:val="1A223A"/>
                <w:sz w:val="19"/>
              </w:rPr>
              <w:t>CTO / Head of Risk &amp; Compliance</w:t>
            </w:r>
          </w:p>
        </w:tc>
      </w:tr>
      <w:tr>
        <w:tc>
          <w:tcPr>
            <w:tcW w:type="dxa" w:w="4873"/>
            <w:shd w:val="clear" w:color="auto" w:fill="0B1437"/>
            <w:tcBorders>
              <w:top w:val="single" w:sz="4" w:color="0B1437"/>
              <w:left w:val="single" w:sz="4" w:color="0B1437"/>
              <w:bottom w:val="single" w:sz="4" w:color="0B1437"/>
              <w:right w:val="single" w:sz="4" w:color="0B1437"/>
            </w:tcBorders>
          </w:tcPr>
          <w:p>
            <w:r/>
            <w:r>
              <w:rPr>
                <w:b/>
                <w:color w:val="FFFFFF"/>
                <w:sz w:val="19"/>
              </w:rPr>
              <w:t>Effective date</w:t>
            </w:r>
          </w:p>
        </w:tc>
        <w:tc>
          <w:tcPr>
            <w:tcW w:type="dxa" w:w="4873"/>
            <w:shd w:val="clear" w:color="auto" w:fill="F5F7FA"/>
            <w:tcBorders>
              <w:top w:val="single" w:sz="4" w:color="B7C0D6"/>
              <w:left w:val="single" w:sz="4" w:color="B7C0D6"/>
              <w:bottom w:val="single" w:sz="4" w:color="B7C0D6"/>
              <w:right w:val="single" w:sz="4" w:color="B7C0D6"/>
            </w:tcBorders>
          </w:tcPr>
          <w:p>
            <w:r/>
            <w:r>
              <w:rPr>
                <w:color w:val="1A223A"/>
                <w:sz w:val="19"/>
              </w:rPr>
              <w:t>Upon approval — reviewed annually</w:t>
            </w:r>
          </w:p>
        </w:tc>
      </w:tr>
    </w:tbl>
    <w:p/>
    <w:p>
      <w:r>
        <w:rPr>
          <w:i/>
          <w:color w:val="6B7A99"/>
          <w:sz w:val="20"/>
        </w:rPr>
        <w:t>This policy is a companion to the Praxion User Access Matrix (PRX-SEC-MTX-001) and the Praxion System Architecture document (PRX-ARCH-001). Together they define how identity, roles and permissions are granted, reviewed and revoked across the Praxion HROS platform.</w:t>
      </w:r>
    </w:p>
    <w:p>
      <w:r>
        <w:br w:type="page"/>
      </w:r>
    </w:p>
    <w:p>
      <w:pPr>
        <w:spacing w:before="360" w:after="120"/>
        <w:pBdr>
          <w:bottom w:val="single" w:sz="8" w:color="2F6BFF"/>
        </w:pBdr>
      </w:pPr>
      <w:r>
        <w:rPr>
          <w:rFonts w:ascii="Calibri" w:hAnsi="Calibri"/>
          <w:b/>
          <w:color w:val="0B1437"/>
          <w:sz w:val="36"/>
        </w:rPr>
        <w:t>1.  Purpose &amp; Scope</w:t>
      </w:r>
    </w:p>
    <w:p>
      <w:pPr>
        <w:spacing w:before="240" w:after="80"/>
      </w:pPr>
      <w:r>
        <w:rPr>
          <w:rFonts w:ascii="Calibri" w:hAnsi="Calibri"/>
          <w:b/>
          <w:color w:val="1E2A5E"/>
          <w:sz w:val="26"/>
        </w:rPr>
        <w:t>1.1  Purpose</w:t>
      </w:r>
    </w:p>
    <w:p>
      <w:r>
        <w:t>Praxion HROS stores and processes sensitive human-resources, payroll and personal data belonging to Egybell, its clients and its employees. This policy establishes the principles, roles and controls that govern who may access which parts of the platform, under what conditions, and how that access is requested, approved, reviewed and revoked.</w:t>
      </w:r>
    </w:p>
    <w:p>
      <w:r>
        <w:t>The policy exists to:</w:t>
      </w:r>
    </w:p>
    <w:p>
      <w:pPr>
        <w:pStyle w:val="ListBullet"/>
        <w:ind w:left="360"/>
      </w:pPr>
      <w:r>
        <w:t>Protect the confidentiality, integrity and availability of employee, payroll, financial and client data held in Praxion HROS.</w:t>
      </w:r>
    </w:p>
    <w:p>
      <w:pPr>
        <w:pStyle w:val="ListBullet"/>
        <w:ind w:left="360"/>
      </w:pPr>
      <w:r>
        <w:t>Enforce the principles of least privilege, segregation of duties and need-to-know across all modules and environments.</w:t>
      </w:r>
    </w:p>
    <w:p>
      <w:pPr>
        <w:pStyle w:val="ListBullet"/>
        <w:ind w:left="360"/>
      </w:pPr>
      <w:r>
        <w:t>Provide a defensible audit trail that satisfies internal audit, client audits and applicable regulations (Egyptian Labour Law, Egyptian Personal Data Protection Law 151/2020, ISO 27001 and SOC 2 control families).</w:t>
      </w:r>
    </w:p>
    <w:p>
      <w:pPr>
        <w:pStyle w:val="ListBullet"/>
        <w:ind w:left="360"/>
      </w:pPr>
      <w:r>
        <w:t>Give business owners, HR, Finance, IT and external auditors a single source of truth for "who can do what" inside Praxion.</w:t>
      </w:r>
    </w:p>
    <w:p>
      <w:pPr>
        <w:spacing w:before="240" w:after="80"/>
      </w:pPr>
      <w:r>
        <w:rPr>
          <w:rFonts w:ascii="Calibri" w:hAnsi="Calibri"/>
          <w:b/>
          <w:color w:val="1E2A5E"/>
          <w:sz w:val="26"/>
        </w:rPr>
        <w:t>1.2  Scope</w:t>
      </w:r>
    </w:p>
    <w:p>
      <w:r>
        <w:t>This policy applies to every identity — human or machine — that accesses any component of the Praxion HROS platform, including:</w:t>
      </w:r>
    </w:p>
    <w:p>
      <w:pPr>
        <w:pStyle w:val="ListBullet"/>
        <w:ind w:left="360"/>
      </w:pPr>
      <w:r>
        <w:t>All Praxion HROS environments: Production, Staging, UAT, QA and Development.</w:t>
      </w:r>
    </w:p>
    <w:p>
      <w:pPr>
        <w:pStyle w:val="ListBullet"/>
        <w:ind w:left="360"/>
      </w:pPr>
      <w:r>
        <w:t>All Praxion HROS modules defined in the Access Matrix (Core HRIS, Recruitment, Onboarding, Performance, Training, Payroll, Benefits, Contractor Management, Analytics, System Administration, Mobile App, Client Portal and Billing).</w:t>
      </w:r>
    </w:p>
    <w:p>
      <w:pPr>
        <w:pStyle w:val="ListBullet"/>
        <w:ind w:left="360"/>
      </w:pPr>
      <w:r>
        <w:t>All user types: Egybell employees, contractors, outsourced workers, client administrators, candidates, auditors and service / API accounts.</w:t>
      </w:r>
    </w:p>
    <w:p>
      <w:pPr>
        <w:pStyle w:val="ListBullet"/>
        <w:ind w:left="360"/>
      </w:pPr>
      <w:r>
        <w:t>All access channels: web application, mobile application, public APIs, administrative consoles, database and infrastructure back-ends.</w:t>
      </w:r>
    </w:p>
    <w:p>
      <w:pPr>
        <w:spacing w:before="240" w:after="80"/>
      </w:pPr>
      <w:r>
        <w:rPr>
          <w:rFonts w:ascii="Calibri" w:hAnsi="Calibri"/>
          <w:b/>
          <w:color w:val="1E2A5E"/>
          <w:sz w:val="26"/>
        </w:rPr>
        <w:t>1.3  Out of scope</w:t>
      </w:r>
    </w:p>
    <w:p>
      <w:pPr>
        <w:pStyle w:val="ListBullet"/>
        <w:ind w:left="360"/>
      </w:pPr>
      <w:r>
        <w:t>Physical access to Egybell offices and data-centre facilities (governed by the Egybell Physical Security Policy).</w:t>
      </w:r>
    </w:p>
    <w:p>
      <w:pPr>
        <w:pStyle w:val="ListBullet"/>
        <w:ind w:left="360"/>
      </w:pPr>
      <w:r>
        <w:t>Access to corporate endpoints, email and productivity tooling unrelated to Praxion HROS.</w:t>
      </w:r>
    </w:p>
    <w:p>
      <w:pPr>
        <w:pStyle w:val="ListBullet"/>
        <w:ind w:left="360"/>
      </w:pPr>
      <w:r>
        <w:t>End-user device management (covered by the Egybell Acceptable Use &amp; MDM Policy).</w:t>
      </w:r>
    </w:p>
    <w:p>
      <w:pPr>
        <w:spacing w:before="240" w:after="80"/>
      </w:pPr>
      <w:r>
        <w:rPr>
          <w:rFonts w:ascii="Calibri" w:hAnsi="Calibri"/>
          <w:b/>
          <w:color w:val="1E2A5E"/>
          <w:sz w:val="26"/>
        </w:rPr>
        <w:t>1.4  Audience</w:t>
      </w:r>
    </w:p>
    <w:p>
      <w:r>
        <w:t>This document is intended for: the Praxion product and engineering organisation, Egybell HR and Finance leadership, the IT / Security team, internal and external auditors, client administrators and any role acting as a data owner, approver or reviewer for Praxion access.</w:t>
      </w:r>
    </w:p>
    <w:p>
      <w:pPr>
        <w:spacing w:before="360" w:after="120"/>
        <w:pBdr>
          <w:bottom w:val="single" w:sz="8" w:color="2F6BFF"/>
        </w:pBdr>
      </w:pPr>
      <w:r>
        <w:rPr>
          <w:rFonts w:ascii="Calibri" w:hAnsi="Calibri"/>
          <w:b/>
          <w:color w:val="0B1437"/>
          <w:sz w:val="36"/>
        </w:rPr>
        <w:t>2.  Definitions</w:t>
      </w:r>
    </w:p>
    <w:tbl>
      <w:tblPr>
        <w:tblW w:type="auto" w:w="0"/>
        <w:jc w:val="center"/>
        <w:tblLayout w:type="fixed"/>
        <w:tblLook w:firstColumn="1" w:firstRow="1" w:lastColumn="0" w:lastRow="0" w:noHBand="0" w:noVBand="1" w:val="04A0"/>
      </w:tblPr>
      <w:tblGrid>
        <w:gridCol w:w="4873"/>
        <w:gridCol w:w="4873"/>
      </w:tblGrid>
      <w:tr>
        <w:tc>
          <w:tcPr>
            <w:tcW w:type="dxa" w:w="2448"/>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Term</w:t>
            </w:r>
          </w:p>
        </w:tc>
        <w:tc>
          <w:tcPr>
            <w:tcW w:type="dxa" w:w="7200"/>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Meaning</w:t>
            </w:r>
          </w:p>
        </w:tc>
      </w:tr>
      <w:tr>
        <w:tc>
          <w:tcPr>
            <w:tcW w:type="dxa" w:w="2448"/>
            <w:tcBorders>
              <w:top w:val="single" w:sz="4" w:color="B7C0D6"/>
              <w:left w:val="single" w:sz="4" w:color="B7C0D6"/>
              <w:bottom w:val="single" w:sz="4" w:color="B7C0D6"/>
              <w:right w:val="single" w:sz="4" w:color="B7C0D6"/>
            </w:tcBorders>
            <w:vAlign w:val="center"/>
          </w:tcPr>
          <w:p>
            <w:r/>
            <w:r>
              <w:rPr>
                <w:rFonts w:ascii="Calibri" w:hAnsi="Calibri"/>
                <w:color w:val="1A223A"/>
                <w:sz w:val="19"/>
              </w:rPr>
              <w:t>Identity</w:t>
            </w:r>
          </w:p>
        </w:tc>
        <w:tc>
          <w:tcPr>
            <w:tcW w:type="dxa" w:w="7200"/>
            <w:tcBorders>
              <w:top w:val="single" w:sz="4" w:color="B7C0D6"/>
              <w:left w:val="single" w:sz="4" w:color="B7C0D6"/>
              <w:bottom w:val="single" w:sz="4" w:color="B7C0D6"/>
              <w:right w:val="single" w:sz="4" w:color="B7C0D6"/>
            </w:tcBorders>
            <w:vAlign w:val="center"/>
          </w:tcPr>
          <w:p>
            <w:r/>
            <w:r>
              <w:rPr>
                <w:rFonts w:ascii="Calibri" w:hAnsi="Calibri"/>
                <w:color w:val="1A223A"/>
                <w:sz w:val="19"/>
              </w:rPr>
              <w:t>A uniquely identifiable principal — a person or a system — that can authenticate to Praxion HROS.</w:t>
            </w:r>
          </w:p>
        </w:tc>
      </w:tr>
      <w:tr>
        <w:tc>
          <w:tcPr>
            <w:tcW w:type="dxa" w:w="244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Account</w:t>
            </w:r>
          </w:p>
        </w:tc>
        <w:tc>
          <w:tcPr>
            <w:tcW w:type="dxa" w:w="720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The technical record in Praxion (or the federated IdP) that represents an identity and carries one or more role assignments.</w:t>
            </w:r>
          </w:p>
        </w:tc>
      </w:tr>
      <w:tr>
        <w:tc>
          <w:tcPr>
            <w:tcW w:type="dxa" w:w="2448"/>
            <w:tcBorders>
              <w:top w:val="single" w:sz="4" w:color="B7C0D6"/>
              <w:left w:val="single" w:sz="4" w:color="B7C0D6"/>
              <w:bottom w:val="single" w:sz="4" w:color="B7C0D6"/>
              <w:right w:val="single" w:sz="4" w:color="B7C0D6"/>
            </w:tcBorders>
            <w:vAlign w:val="center"/>
          </w:tcPr>
          <w:p>
            <w:r/>
            <w:r>
              <w:rPr>
                <w:rFonts w:ascii="Calibri" w:hAnsi="Calibri"/>
                <w:color w:val="1A223A"/>
                <w:sz w:val="19"/>
              </w:rPr>
              <w:t>Role</w:t>
            </w:r>
          </w:p>
        </w:tc>
        <w:tc>
          <w:tcPr>
            <w:tcW w:type="dxa" w:w="7200"/>
            <w:tcBorders>
              <w:top w:val="single" w:sz="4" w:color="B7C0D6"/>
              <w:left w:val="single" w:sz="4" w:color="B7C0D6"/>
              <w:bottom w:val="single" w:sz="4" w:color="B7C0D6"/>
              <w:right w:val="single" w:sz="4" w:color="B7C0D6"/>
            </w:tcBorders>
            <w:vAlign w:val="center"/>
          </w:tcPr>
          <w:p>
            <w:r/>
            <w:r>
              <w:rPr>
                <w:rFonts w:ascii="Calibri" w:hAnsi="Calibri"/>
                <w:color w:val="1A223A"/>
                <w:sz w:val="19"/>
              </w:rPr>
              <w:t>A named bundle of permissions designed around a job function (e.g. HR Manager, Payroll Officer). Roles are the primary unit of authorisation.</w:t>
            </w:r>
          </w:p>
        </w:tc>
      </w:tr>
      <w:tr>
        <w:tc>
          <w:tcPr>
            <w:tcW w:type="dxa" w:w="244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Permission</w:t>
            </w:r>
          </w:p>
        </w:tc>
        <w:tc>
          <w:tcPr>
            <w:tcW w:type="dxa" w:w="720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 discrete capability inside a module, expressed as Module × Action (e.g. Payroll → Approve).</w:t>
            </w:r>
          </w:p>
        </w:tc>
      </w:tr>
      <w:tr>
        <w:tc>
          <w:tcPr>
            <w:tcW w:type="dxa" w:w="2448"/>
            <w:tcBorders>
              <w:top w:val="single" w:sz="4" w:color="B7C0D6"/>
              <w:left w:val="single" w:sz="4" w:color="B7C0D6"/>
              <w:bottom w:val="single" w:sz="4" w:color="B7C0D6"/>
              <w:right w:val="single" w:sz="4" w:color="B7C0D6"/>
            </w:tcBorders>
            <w:vAlign w:val="center"/>
          </w:tcPr>
          <w:p>
            <w:r/>
            <w:r>
              <w:rPr>
                <w:rFonts w:ascii="Calibri" w:hAnsi="Calibri"/>
                <w:color w:val="1A223A"/>
                <w:sz w:val="19"/>
              </w:rPr>
              <w:t>Scope</w:t>
            </w:r>
          </w:p>
        </w:tc>
        <w:tc>
          <w:tcPr>
            <w:tcW w:type="dxa" w:w="7200"/>
            <w:tcBorders>
              <w:top w:val="single" w:sz="4" w:color="B7C0D6"/>
              <w:left w:val="single" w:sz="4" w:color="B7C0D6"/>
              <w:bottom w:val="single" w:sz="4" w:color="B7C0D6"/>
              <w:right w:val="single" w:sz="4" w:color="B7C0D6"/>
            </w:tcBorders>
            <w:vAlign w:val="center"/>
          </w:tcPr>
          <w:p>
            <w:r/>
            <w:r>
              <w:rPr>
                <w:rFonts w:ascii="Calibri" w:hAnsi="Calibri"/>
                <w:color w:val="1A223A"/>
                <w:sz w:val="19"/>
              </w:rPr>
              <w:t>The data boundary in which a permission applies — Self, Team, Department, Business Unit, Tenant or Cross-tenant.</w:t>
            </w:r>
          </w:p>
        </w:tc>
      </w:tr>
      <w:tr>
        <w:tc>
          <w:tcPr>
            <w:tcW w:type="dxa" w:w="244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Least privilege</w:t>
            </w:r>
          </w:p>
        </w:tc>
        <w:tc>
          <w:tcPr>
            <w:tcW w:type="dxa" w:w="720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The principle that a user is granted the minimum set of permissions required to perform their job and no more.</w:t>
            </w:r>
          </w:p>
        </w:tc>
      </w:tr>
      <w:tr>
        <w:tc>
          <w:tcPr>
            <w:tcW w:type="dxa" w:w="2448"/>
            <w:tcBorders>
              <w:top w:val="single" w:sz="4" w:color="B7C0D6"/>
              <w:left w:val="single" w:sz="4" w:color="B7C0D6"/>
              <w:bottom w:val="single" w:sz="4" w:color="B7C0D6"/>
              <w:right w:val="single" w:sz="4" w:color="B7C0D6"/>
            </w:tcBorders>
            <w:vAlign w:val="center"/>
          </w:tcPr>
          <w:p>
            <w:r/>
            <w:r>
              <w:rPr>
                <w:rFonts w:ascii="Calibri" w:hAnsi="Calibri"/>
                <w:color w:val="1A223A"/>
                <w:sz w:val="19"/>
              </w:rPr>
              <w:t>Segregation of duties (SoD)</w:t>
            </w:r>
          </w:p>
        </w:tc>
        <w:tc>
          <w:tcPr>
            <w:tcW w:type="dxa" w:w="7200"/>
            <w:tcBorders>
              <w:top w:val="single" w:sz="4" w:color="B7C0D6"/>
              <w:left w:val="single" w:sz="4" w:color="B7C0D6"/>
              <w:bottom w:val="single" w:sz="4" w:color="B7C0D6"/>
              <w:right w:val="single" w:sz="4" w:color="B7C0D6"/>
            </w:tcBorders>
            <w:vAlign w:val="center"/>
          </w:tcPr>
          <w:p>
            <w:r/>
            <w:r>
              <w:rPr>
                <w:rFonts w:ascii="Calibri" w:hAnsi="Calibri"/>
                <w:color w:val="1A223A"/>
                <w:sz w:val="19"/>
              </w:rPr>
              <w:t>The control that forbids a single identity from holding combinations of roles that would allow fraud or unilateral harm (e.g. Payroll Officer + Finance Manager).</w:t>
            </w:r>
          </w:p>
        </w:tc>
      </w:tr>
      <w:tr>
        <w:tc>
          <w:tcPr>
            <w:tcW w:type="dxa" w:w="244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Privileged access</w:t>
            </w:r>
          </w:p>
        </w:tc>
        <w:tc>
          <w:tcPr>
            <w:tcW w:type="dxa" w:w="720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Any permission that can bypass, disable or reconfigure platform controls — notably Platform Admin, Tenant Admin, System Administrator and direct database access.</w:t>
            </w:r>
          </w:p>
        </w:tc>
      </w:tr>
      <w:tr>
        <w:tc>
          <w:tcPr>
            <w:tcW w:type="dxa" w:w="2448"/>
            <w:tcBorders>
              <w:top w:val="single" w:sz="4" w:color="B7C0D6"/>
              <w:left w:val="single" w:sz="4" w:color="B7C0D6"/>
              <w:bottom w:val="single" w:sz="4" w:color="B7C0D6"/>
              <w:right w:val="single" w:sz="4" w:color="B7C0D6"/>
            </w:tcBorders>
            <w:vAlign w:val="center"/>
          </w:tcPr>
          <w:p>
            <w:r/>
            <w:r>
              <w:rPr>
                <w:rFonts w:ascii="Calibri" w:hAnsi="Calibri"/>
                <w:color w:val="1A223A"/>
                <w:sz w:val="19"/>
              </w:rPr>
              <w:t>Break-glass account</w:t>
            </w:r>
          </w:p>
        </w:tc>
        <w:tc>
          <w:tcPr>
            <w:tcW w:type="dxa" w:w="7200"/>
            <w:tcBorders>
              <w:top w:val="single" w:sz="4" w:color="B7C0D6"/>
              <w:left w:val="single" w:sz="4" w:color="B7C0D6"/>
              <w:bottom w:val="single" w:sz="4" w:color="B7C0D6"/>
              <w:right w:val="single" w:sz="4" w:color="B7C0D6"/>
            </w:tcBorders>
            <w:vAlign w:val="center"/>
          </w:tcPr>
          <w:p>
            <w:r/>
            <w:r>
              <w:rPr>
                <w:rFonts w:ascii="Calibri" w:hAnsi="Calibri"/>
                <w:color w:val="1A223A"/>
                <w:sz w:val="19"/>
              </w:rPr>
              <w:t>A strictly-controlled emergency account used only when normal administrative paths are unavailable; every use is logged and post-reviewed.</w:t>
            </w:r>
          </w:p>
        </w:tc>
      </w:tr>
      <w:tr>
        <w:tc>
          <w:tcPr>
            <w:tcW w:type="dxa" w:w="244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Access review</w:t>
            </w:r>
          </w:p>
        </w:tc>
        <w:tc>
          <w:tcPr>
            <w:tcW w:type="dxa" w:w="720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The periodic re-certification of user entitlements by the appropriate data owner.</w:t>
            </w:r>
          </w:p>
        </w:tc>
      </w:tr>
    </w:tbl>
    <w:p>
      <w:pPr>
        <w:spacing w:before="360" w:after="120"/>
        <w:pBdr>
          <w:bottom w:val="single" w:sz="8" w:color="2F6BFF"/>
        </w:pBdr>
      </w:pPr>
      <w:r>
        <w:rPr>
          <w:rFonts w:ascii="Calibri" w:hAnsi="Calibri"/>
          <w:b/>
          <w:color w:val="0B1437"/>
          <w:sz w:val="36"/>
        </w:rPr>
        <w:t>3.  Core Principles</w:t>
      </w:r>
    </w:p>
    <w:p>
      <w:r>
        <w:t>Every access-management decision taken for Praxion HROS must respect the following non-negotiable principles. Where a business request conflicts with a principle, the request is refused or escalated through the Exceptions process (§11).</w:t>
      </w:r>
    </w:p>
    <w:p>
      <w:pPr>
        <w:spacing w:before="160" w:after="40"/>
      </w:pPr>
      <w:r>
        <w:rPr>
          <w:rFonts w:ascii="Calibri" w:hAnsi="Calibri"/>
          <w:b/>
          <w:color w:val="2F6BFF"/>
          <w:sz w:val="22"/>
        </w:rPr>
        <w:t>P1 — Least privilege</w:t>
      </w:r>
    </w:p>
    <w:p>
      <w:r>
        <w:t>Users receive the minimum permissions needed to perform their current job. Elevated or broad permissions are granted only for as long as required and must be revoked when the underlying need ends.</w:t>
      </w:r>
    </w:p>
    <w:p>
      <w:pPr>
        <w:spacing w:before="160" w:after="40"/>
      </w:pPr>
      <w:r>
        <w:rPr>
          <w:rFonts w:ascii="Calibri" w:hAnsi="Calibri"/>
          <w:b/>
          <w:color w:val="2F6BFF"/>
          <w:sz w:val="22"/>
        </w:rPr>
        <w:t>P2 — Role-based access control (RBAC)</w:t>
      </w:r>
    </w:p>
    <w:p>
      <w:r>
        <w:t>Access is granted through named roles, never through ad-hoc per-user permissions. Custom permissions outside an approved role require a formal exception.</w:t>
      </w:r>
    </w:p>
    <w:p>
      <w:pPr>
        <w:spacing w:before="160" w:after="40"/>
      </w:pPr>
      <w:r>
        <w:rPr>
          <w:rFonts w:ascii="Calibri" w:hAnsi="Calibri"/>
          <w:b/>
          <w:color w:val="2F6BFF"/>
          <w:sz w:val="22"/>
        </w:rPr>
        <w:t>P3 — Segregation of duties</w:t>
      </w:r>
    </w:p>
    <w:p>
      <w:r>
        <w:t>Conflicting duties are split across distinct roles and, where possible, distinct individuals. The Access Matrix maintains the authoritative list of prohibited role combinations (see §9 and tab "6. Segregation" of the Access Matrix).</w:t>
      </w:r>
    </w:p>
    <w:p>
      <w:pPr>
        <w:spacing w:before="160" w:after="40"/>
      </w:pPr>
      <w:r>
        <w:rPr>
          <w:rFonts w:ascii="Calibri" w:hAnsi="Calibri"/>
          <w:b/>
          <w:color w:val="2F6BFF"/>
          <w:sz w:val="22"/>
        </w:rPr>
        <w:t>P4 — Need-to-know and data minimisation</w:t>
      </w:r>
    </w:p>
    <w:p>
      <w:r>
        <w:t>Visibility is scoped to the smallest data set a role legitimately requires (self, team, department, BU or tenant). Global data visibility is reserved for Platform-level roles.</w:t>
      </w:r>
    </w:p>
    <w:p>
      <w:pPr>
        <w:spacing w:before="160" w:after="40"/>
      </w:pPr>
      <w:r>
        <w:rPr>
          <w:rFonts w:ascii="Calibri" w:hAnsi="Calibri"/>
          <w:b/>
          <w:color w:val="2F6BFF"/>
          <w:sz w:val="22"/>
        </w:rPr>
        <w:t>P5 — Strong authentication</w:t>
      </w:r>
    </w:p>
    <w:p>
      <w:r>
        <w:t>Every human identity authenticates with at least two factors. Privileged roles additionally require phishing-resistant MFA (hardware key or platform authenticator).</w:t>
      </w:r>
    </w:p>
    <w:p>
      <w:pPr>
        <w:spacing w:before="160" w:after="40"/>
      </w:pPr>
      <w:r>
        <w:rPr>
          <w:rFonts w:ascii="Calibri" w:hAnsi="Calibri"/>
          <w:b/>
          <w:color w:val="2F6BFF"/>
          <w:sz w:val="22"/>
        </w:rPr>
        <w:t>P6 — Accountable actions</w:t>
      </w:r>
    </w:p>
    <w:p>
      <w:r>
        <w:t>Every material action in Praxion is attributed to an identified principal and captured in an immutable audit log. Shared accounts are prohibited.</w:t>
      </w:r>
    </w:p>
    <w:p>
      <w:pPr>
        <w:spacing w:before="160" w:after="40"/>
      </w:pPr>
      <w:r>
        <w:rPr>
          <w:rFonts w:ascii="Calibri" w:hAnsi="Calibri"/>
          <w:b/>
          <w:color w:val="2F6BFF"/>
          <w:sz w:val="22"/>
        </w:rPr>
        <w:t>P7 — Default deny</w:t>
      </w:r>
    </w:p>
    <w:p>
      <w:r>
        <w:t>Any capability not explicitly granted is denied. New modules, new APIs and new actions start closed and are opened only when a corresponding role definition has been approved.</w:t>
      </w:r>
    </w:p>
    <w:p>
      <w:pPr>
        <w:spacing w:before="160" w:after="40"/>
      </w:pPr>
      <w:r>
        <w:rPr>
          <w:rFonts w:ascii="Calibri" w:hAnsi="Calibri"/>
          <w:b/>
          <w:color w:val="2F6BFF"/>
          <w:sz w:val="22"/>
        </w:rPr>
        <w:t>P8 — Timely revocation</w:t>
      </w:r>
    </w:p>
    <w:p>
      <w:r>
        <w:t>Access is removed within defined SLAs when an individual leaves, changes role or no longer requires it (see §8).</w:t>
      </w:r>
    </w:p>
    <w:p>
      <w:pPr>
        <w:spacing w:before="160" w:after="40"/>
      </w:pPr>
      <w:r>
        <w:rPr>
          <w:rFonts w:ascii="Calibri" w:hAnsi="Calibri"/>
          <w:b/>
          <w:color w:val="2F6BFF"/>
          <w:sz w:val="22"/>
        </w:rPr>
        <w:t>P9 — Auditability</w:t>
      </w:r>
    </w:p>
    <w:p>
      <w:r>
        <w:t>All provisioning, approval, authentication and high-impact authorisation events are logged, retained and made available to auditors on request.</w:t>
      </w:r>
    </w:p>
    <w:p>
      <w:pPr>
        <w:spacing w:before="360" w:after="120"/>
        <w:pBdr>
          <w:bottom w:val="single" w:sz="8" w:color="2F6BFF"/>
        </w:pBdr>
      </w:pPr>
      <w:r>
        <w:rPr>
          <w:rFonts w:ascii="Calibri" w:hAnsi="Calibri"/>
          <w:b/>
          <w:color w:val="0B1437"/>
          <w:sz w:val="36"/>
        </w:rPr>
        <w:t>4.  Governance Roles &amp; Responsibilities</w:t>
      </w:r>
    </w:p>
    <w:p>
      <w:r>
        <w:t>The following RACI describes accountability for the access-management lifecycle. "R" = Responsible, "A" = Accountable, "C" = Consulted, "I" = Informed.</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4032"/>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Activity</w:t>
            </w:r>
          </w:p>
        </w:tc>
        <w:tc>
          <w:tcPr>
            <w:tcW w:type="dxa" w:w="1008"/>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CISO</w:t>
            </w:r>
          </w:p>
        </w:tc>
        <w:tc>
          <w:tcPr>
            <w:tcW w:type="dxa" w:w="1440"/>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Security / IT</w:t>
            </w:r>
          </w:p>
        </w:tc>
        <w:tc>
          <w:tcPr>
            <w:tcW w:type="dxa" w:w="1296"/>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Data Owner</w:t>
            </w:r>
          </w:p>
        </w:tc>
        <w:tc>
          <w:tcPr>
            <w:tcW w:type="dxa" w:w="1152"/>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People Ops</w:t>
            </w:r>
          </w:p>
        </w:tc>
        <w:tc>
          <w:tcPr>
            <w:tcW w:type="dxa" w:w="1296"/>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Internal Audit</w:t>
            </w:r>
          </w:p>
        </w:tc>
      </w:tr>
      <w:tr>
        <w:tc>
          <w:tcPr>
            <w:tcW w:type="dxa" w:w="4032"/>
            <w:tcBorders>
              <w:top w:val="single" w:sz="4" w:color="B7C0D6"/>
              <w:left w:val="single" w:sz="4" w:color="B7C0D6"/>
              <w:bottom w:val="single" w:sz="4" w:color="B7C0D6"/>
              <w:right w:val="single" w:sz="4" w:color="B7C0D6"/>
            </w:tcBorders>
            <w:vAlign w:val="center"/>
          </w:tcPr>
          <w:p>
            <w:r/>
            <w:r>
              <w:rPr>
                <w:rFonts w:ascii="Calibri" w:hAnsi="Calibri"/>
                <w:color w:val="1A223A"/>
                <w:sz w:val="19"/>
              </w:rPr>
              <w:t>Policy ownership &amp; annual review</w:t>
            </w:r>
          </w:p>
        </w:tc>
        <w:tc>
          <w:tcPr>
            <w:tcW w:type="dxa" w:w="1008"/>
            <w:tcBorders>
              <w:top w:val="single" w:sz="4" w:color="B7C0D6"/>
              <w:left w:val="single" w:sz="4" w:color="B7C0D6"/>
              <w:bottom w:val="single" w:sz="4" w:color="B7C0D6"/>
              <w:right w:val="single" w:sz="4" w:color="B7C0D6"/>
            </w:tcBorders>
            <w:vAlign w:val="center"/>
          </w:tcPr>
          <w:p>
            <w:r/>
            <w:r>
              <w:rPr>
                <w:rFonts w:ascii="Calibri" w:hAnsi="Calibri"/>
                <w:color w:val="1A223A"/>
                <w:sz w:val="19"/>
              </w:rPr>
              <w:t>A</w:t>
            </w:r>
          </w:p>
        </w:tc>
        <w:tc>
          <w:tcPr>
            <w:tcW w:type="dxa" w:w="1440"/>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152"/>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I</w:t>
            </w:r>
          </w:p>
        </w:tc>
      </w:tr>
      <w:tr>
        <w:tc>
          <w:tcPr>
            <w:tcW w:type="dxa" w:w="403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Role definition &amp; updates</w:t>
            </w:r>
          </w:p>
        </w:tc>
        <w:tc>
          <w:tcPr>
            <w:tcW w:type="dxa" w:w="100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44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w:t>
            </w:r>
          </w:p>
        </w:tc>
        <w:tc>
          <w:tcPr>
            <w:tcW w:type="dxa" w:w="129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15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29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I</w:t>
            </w:r>
          </w:p>
        </w:tc>
      </w:tr>
      <w:tr>
        <w:tc>
          <w:tcPr>
            <w:tcW w:type="dxa" w:w="4032"/>
            <w:tcBorders>
              <w:top w:val="single" w:sz="4" w:color="B7C0D6"/>
              <w:left w:val="single" w:sz="4" w:color="B7C0D6"/>
              <w:bottom w:val="single" w:sz="4" w:color="B7C0D6"/>
              <w:right w:val="single" w:sz="4" w:color="B7C0D6"/>
            </w:tcBorders>
            <w:vAlign w:val="center"/>
          </w:tcPr>
          <w:p>
            <w:r/>
            <w:r>
              <w:rPr>
                <w:rFonts w:ascii="Calibri" w:hAnsi="Calibri"/>
                <w:color w:val="1A223A"/>
                <w:sz w:val="19"/>
              </w:rPr>
              <w:t>Access request approval</w:t>
            </w:r>
          </w:p>
        </w:tc>
        <w:tc>
          <w:tcPr>
            <w:tcW w:type="dxa" w:w="1008"/>
            <w:tcBorders>
              <w:top w:val="single" w:sz="4" w:color="B7C0D6"/>
              <w:left w:val="single" w:sz="4" w:color="B7C0D6"/>
              <w:bottom w:val="single" w:sz="4" w:color="B7C0D6"/>
              <w:right w:val="single" w:sz="4" w:color="B7C0D6"/>
            </w:tcBorders>
            <w:vAlign w:val="center"/>
          </w:tcPr>
          <w:p>
            <w:r/>
            <w:r>
              <w:rPr>
                <w:rFonts w:ascii="Calibri" w:hAnsi="Calibri"/>
                <w:color w:val="1A223A"/>
                <w:sz w:val="19"/>
              </w:rPr>
              <w:t>I</w:t>
            </w:r>
          </w:p>
        </w:tc>
        <w:tc>
          <w:tcPr>
            <w:tcW w:type="dxa" w:w="1440"/>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A/R</w:t>
            </w:r>
          </w:p>
        </w:tc>
        <w:tc>
          <w:tcPr>
            <w:tcW w:type="dxa" w:w="1152"/>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I</w:t>
            </w:r>
          </w:p>
        </w:tc>
      </w:tr>
      <w:tr>
        <w:tc>
          <w:tcPr>
            <w:tcW w:type="dxa" w:w="403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User provisioning / de-provisioning</w:t>
            </w:r>
          </w:p>
        </w:tc>
        <w:tc>
          <w:tcPr>
            <w:tcW w:type="dxa" w:w="100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I</w:t>
            </w:r>
          </w:p>
        </w:tc>
        <w:tc>
          <w:tcPr>
            <w:tcW w:type="dxa" w:w="144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29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15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w:t>
            </w:r>
          </w:p>
        </w:tc>
        <w:tc>
          <w:tcPr>
            <w:tcW w:type="dxa" w:w="129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I</w:t>
            </w:r>
          </w:p>
        </w:tc>
      </w:tr>
      <w:tr>
        <w:tc>
          <w:tcPr>
            <w:tcW w:type="dxa" w:w="4032"/>
            <w:tcBorders>
              <w:top w:val="single" w:sz="4" w:color="B7C0D6"/>
              <w:left w:val="single" w:sz="4" w:color="B7C0D6"/>
              <w:bottom w:val="single" w:sz="4" w:color="B7C0D6"/>
              <w:right w:val="single" w:sz="4" w:color="B7C0D6"/>
            </w:tcBorders>
            <w:vAlign w:val="center"/>
          </w:tcPr>
          <w:p>
            <w:r/>
            <w:r>
              <w:rPr>
                <w:rFonts w:ascii="Calibri" w:hAnsi="Calibri"/>
                <w:color w:val="1A223A"/>
                <w:sz w:val="19"/>
              </w:rPr>
              <w:t>Quarterly access reviews</w:t>
            </w:r>
          </w:p>
        </w:tc>
        <w:tc>
          <w:tcPr>
            <w:tcW w:type="dxa" w:w="1008"/>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440"/>
            <w:tcBorders>
              <w:top w:val="single" w:sz="4" w:color="B7C0D6"/>
              <w:left w:val="single" w:sz="4" w:color="B7C0D6"/>
              <w:bottom w:val="single" w:sz="4" w:color="B7C0D6"/>
              <w:right w:val="single" w:sz="4" w:color="B7C0D6"/>
            </w:tcBorders>
            <w:vAlign w:val="center"/>
          </w:tcPr>
          <w:p>
            <w:r/>
            <w:r>
              <w:rPr>
                <w:rFonts w:ascii="Calibri" w:hAnsi="Calibri"/>
                <w:color w:val="1A223A"/>
                <w:sz w:val="19"/>
              </w:rPr>
              <w:t>A</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152"/>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I</w:t>
            </w:r>
          </w:p>
        </w:tc>
      </w:tr>
      <w:tr>
        <w:tc>
          <w:tcPr>
            <w:tcW w:type="dxa" w:w="403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Privileged-access monitoring</w:t>
            </w:r>
          </w:p>
        </w:tc>
        <w:tc>
          <w:tcPr>
            <w:tcW w:type="dxa" w:w="100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w:t>
            </w:r>
          </w:p>
        </w:tc>
        <w:tc>
          <w:tcPr>
            <w:tcW w:type="dxa" w:w="144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29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15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29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I</w:t>
            </w:r>
          </w:p>
        </w:tc>
      </w:tr>
      <w:tr>
        <w:tc>
          <w:tcPr>
            <w:tcW w:type="dxa" w:w="4032"/>
            <w:tcBorders>
              <w:top w:val="single" w:sz="4" w:color="B7C0D6"/>
              <w:left w:val="single" w:sz="4" w:color="B7C0D6"/>
              <w:bottom w:val="single" w:sz="4" w:color="B7C0D6"/>
              <w:right w:val="single" w:sz="4" w:color="B7C0D6"/>
            </w:tcBorders>
            <w:vAlign w:val="center"/>
          </w:tcPr>
          <w:p>
            <w:r/>
            <w:r>
              <w:rPr>
                <w:rFonts w:ascii="Calibri" w:hAnsi="Calibri"/>
                <w:color w:val="1A223A"/>
                <w:sz w:val="19"/>
              </w:rPr>
              <w:t>SoD conflict detection</w:t>
            </w:r>
          </w:p>
        </w:tc>
        <w:tc>
          <w:tcPr>
            <w:tcW w:type="dxa" w:w="1008"/>
            <w:tcBorders>
              <w:top w:val="single" w:sz="4" w:color="B7C0D6"/>
              <w:left w:val="single" w:sz="4" w:color="B7C0D6"/>
              <w:bottom w:val="single" w:sz="4" w:color="B7C0D6"/>
              <w:right w:val="single" w:sz="4" w:color="B7C0D6"/>
            </w:tcBorders>
            <w:vAlign w:val="center"/>
          </w:tcPr>
          <w:p>
            <w:r/>
            <w:r>
              <w:rPr>
                <w:rFonts w:ascii="Calibri" w:hAnsi="Calibri"/>
                <w:color w:val="1A223A"/>
                <w:sz w:val="19"/>
              </w:rPr>
              <w:t>A</w:t>
            </w:r>
          </w:p>
        </w:tc>
        <w:tc>
          <w:tcPr>
            <w:tcW w:type="dxa" w:w="1440"/>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152"/>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r>
      <w:tr>
        <w:tc>
          <w:tcPr>
            <w:tcW w:type="dxa" w:w="403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Incident response (access abuse)</w:t>
            </w:r>
          </w:p>
        </w:tc>
        <w:tc>
          <w:tcPr>
            <w:tcW w:type="dxa" w:w="100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w:t>
            </w:r>
          </w:p>
        </w:tc>
        <w:tc>
          <w:tcPr>
            <w:tcW w:type="dxa" w:w="144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29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15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29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I</w:t>
            </w:r>
          </w:p>
        </w:tc>
      </w:tr>
      <w:tr>
        <w:tc>
          <w:tcPr>
            <w:tcW w:type="dxa" w:w="4032"/>
            <w:tcBorders>
              <w:top w:val="single" w:sz="4" w:color="B7C0D6"/>
              <w:left w:val="single" w:sz="4" w:color="B7C0D6"/>
              <w:bottom w:val="single" w:sz="4" w:color="B7C0D6"/>
              <w:right w:val="single" w:sz="4" w:color="B7C0D6"/>
            </w:tcBorders>
            <w:vAlign w:val="center"/>
          </w:tcPr>
          <w:p>
            <w:r/>
            <w:r>
              <w:rPr>
                <w:rFonts w:ascii="Calibri" w:hAnsi="Calibri"/>
                <w:color w:val="1A223A"/>
                <w:sz w:val="19"/>
              </w:rPr>
              <w:t>Audit evidence production</w:t>
            </w:r>
          </w:p>
        </w:tc>
        <w:tc>
          <w:tcPr>
            <w:tcW w:type="dxa" w:w="1008"/>
            <w:tcBorders>
              <w:top w:val="single" w:sz="4" w:color="B7C0D6"/>
              <w:left w:val="single" w:sz="4" w:color="B7C0D6"/>
              <w:bottom w:val="single" w:sz="4" w:color="B7C0D6"/>
              <w:right w:val="single" w:sz="4" w:color="B7C0D6"/>
            </w:tcBorders>
            <w:vAlign w:val="center"/>
          </w:tcPr>
          <w:p>
            <w:r/>
            <w:r>
              <w:rPr>
                <w:rFonts w:ascii="Calibri" w:hAnsi="Calibri"/>
                <w:color w:val="1A223A"/>
                <w:sz w:val="19"/>
              </w:rPr>
              <w:t>A</w:t>
            </w:r>
          </w:p>
        </w:tc>
        <w:tc>
          <w:tcPr>
            <w:tcW w:type="dxa" w:w="1440"/>
            <w:tcBorders>
              <w:top w:val="single" w:sz="4" w:color="B7C0D6"/>
              <w:left w:val="single" w:sz="4" w:color="B7C0D6"/>
              <w:bottom w:val="single" w:sz="4" w:color="B7C0D6"/>
              <w:right w:val="single" w:sz="4" w:color="B7C0D6"/>
            </w:tcBorders>
            <w:vAlign w:val="center"/>
          </w:tcPr>
          <w:p>
            <w:r/>
            <w:r>
              <w:rPr>
                <w:rFonts w:ascii="Calibri" w:hAnsi="Calibri"/>
                <w:color w:val="1A223A"/>
                <w:sz w:val="19"/>
              </w:rPr>
              <w:t>R</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152"/>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c>
          <w:tcPr>
            <w:tcW w:type="dxa" w:w="1296"/>
            <w:tcBorders>
              <w:top w:val="single" w:sz="4" w:color="B7C0D6"/>
              <w:left w:val="single" w:sz="4" w:color="B7C0D6"/>
              <w:bottom w:val="single" w:sz="4" w:color="B7C0D6"/>
              <w:right w:val="single" w:sz="4" w:color="B7C0D6"/>
            </w:tcBorders>
            <w:vAlign w:val="center"/>
          </w:tcPr>
          <w:p>
            <w:r/>
            <w:r>
              <w:rPr>
                <w:rFonts w:ascii="Calibri" w:hAnsi="Calibri"/>
                <w:color w:val="1A223A"/>
                <w:sz w:val="19"/>
              </w:rPr>
              <w:t>C</w:t>
            </w:r>
          </w:p>
        </w:tc>
      </w:tr>
    </w:tbl>
    <w:p>
      <w:pPr>
        <w:spacing w:before="160" w:after="40"/>
      </w:pPr>
      <w:r>
        <w:rPr>
          <w:rFonts w:ascii="Calibri" w:hAnsi="Calibri"/>
          <w:b/>
          <w:color w:val="2F6BFF"/>
          <w:sz w:val="22"/>
        </w:rPr>
        <w:t>Key role definitions</w:t>
      </w:r>
    </w:p>
    <w:p>
      <w:pPr>
        <w:pStyle w:val="ListBullet"/>
        <w:ind w:left="360"/>
      </w:pPr>
      <w:r>
        <w:t>Chief Information Security Officer (CISO) — owns this policy, chairs exceptions, and signs off material changes to the role catalogue.</w:t>
      </w:r>
    </w:p>
    <w:p>
      <w:pPr>
        <w:pStyle w:val="ListBullet"/>
        <w:ind w:left="360"/>
      </w:pPr>
      <w:r>
        <w:t>Security / IT Operations — operates the joiner-mover-leaver process, manages the IdP, monitors privileged sessions and produces audit evidence.</w:t>
      </w:r>
    </w:p>
    <w:p>
      <w:pPr>
        <w:pStyle w:val="ListBullet"/>
        <w:ind w:left="360"/>
      </w:pPr>
      <w:r>
        <w:t>Data Owners — business leaders accountable for a module's data (e.g. Head of HR for Core HRIS, Finance Manager for Payroll, Head of Recruitment for ATS). Data owners approve access requests and sign access reviews for their module.</w:t>
      </w:r>
    </w:p>
    <w:p>
      <w:pPr>
        <w:pStyle w:val="ListBullet"/>
        <w:ind w:left="360"/>
      </w:pPr>
      <w:r>
        <w:t>People Operations (HR) — is the authoritative source for identity lifecycle events (joiner / mover / leaver) and initiates tickets to IT for each event.</w:t>
      </w:r>
    </w:p>
    <w:p>
      <w:pPr>
        <w:pStyle w:val="ListBullet"/>
        <w:ind w:left="360"/>
      </w:pPr>
      <w:r>
        <w:t>Internal Audit — independently tests the effectiveness of this policy and has read-only access to audit logs via the Auditor role.</w:t>
      </w:r>
    </w:p>
    <w:p>
      <w:pPr>
        <w:spacing w:before="360" w:after="120"/>
        <w:pBdr>
          <w:bottom w:val="single" w:sz="8" w:color="2F6BFF"/>
        </w:pBdr>
      </w:pPr>
      <w:r>
        <w:rPr>
          <w:rFonts w:ascii="Calibri" w:hAnsi="Calibri"/>
          <w:b/>
          <w:color w:val="0B1437"/>
          <w:sz w:val="36"/>
        </w:rPr>
        <w:t>5.  User Types</w:t>
      </w:r>
    </w:p>
    <w:p>
      <w:r>
        <w:t>Praxion HROS recognises the following user categories. Full permission detail lives in the Praxion User Access Matrix; this section summarises the intent and default posture of each category.</w:t>
      </w:r>
    </w:p>
    <w:tbl>
      <w:tblPr>
        <w:tblW w:type="auto" w:w="0"/>
        <w:jc w:val="center"/>
        <w:tblLayout w:type="fixed"/>
        <w:tblLook w:firstColumn="1" w:firstRow="1" w:lastColumn="0" w:lastRow="0" w:noHBand="0" w:noVBand="1" w:val="04A0"/>
      </w:tblPr>
      <w:tblGrid>
        <w:gridCol w:w="3249"/>
        <w:gridCol w:w="3249"/>
        <w:gridCol w:w="3249"/>
      </w:tblGrid>
      <w:tr>
        <w:tc>
          <w:tcPr>
            <w:tcW w:type="dxa" w:w="2592"/>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Category</w:t>
            </w:r>
          </w:p>
        </w:tc>
        <w:tc>
          <w:tcPr>
            <w:tcW w:type="dxa" w:w="3312"/>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Included roles</w:t>
            </w:r>
          </w:p>
        </w:tc>
        <w:tc>
          <w:tcPr>
            <w:tcW w:type="dxa" w:w="3744"/>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Default posture</w:t>
            </w:r>
          </w:p>
        </w:tc>
      </w:tr>
      <w:tr>
        <w:tc>
          <w:tcPr>
            <w:tcW w:type="dxa" w:w="2592"/>
            <w:tcBorders>
              <w:top w:val="single" w:sz="4" w:color="B7C0D6"/>
              <w:left w:val="single" w:sz="4" w:color="B7C0D6"/>
              <w:bottom w:val="single" w:sz="4" w:color="B7C0D6"/>
              <w:right w:val="single" w:sz="4" w:color="B7C0D6"/>
            </w:tcBorders>
            <w:vAlign w:val="center"/>
          </w:tcPr>
          <w:p>
            <w:r/>
            <w:r>
              <w:rPr>
                <w:rFonts w:ascii="Calibri" w:hAnsi="Calibri"/>
                <w:color w:val="1A223A"/>
                <w:sz w:val="19"/>
              </w:rPr>
              <w:t>Internal — Administrators</w:t>
            </w:r>
          </w:p>
        </w:tc>
        <w:tc>
          <w:tcPr>
            <w:tcW w:type="dxa" w:w="3312"/>
            <w:tcBorders>
              <w:top w:val="single" w:sz="4" w:color="B7C0D6"/>
              <w:left w:val="single" w:sz="4" w:color="B7C0D6"/>
              <w:bottom w:val="single" w:sz="4" w:color="B7C0D6"/>
              <w:right w:val="single" w:sz="4" w:color="B7C0D6"/>
            </w:tcBorders>
            <w:vAlign w:val="center"/>
          </w:tcPr>
          <w:p>
            <w:r/>
            <w:r>
              <w:rPr>
                <w:rFonts w:ascii="Calibri" w:hAnsi="Calibri"/>
                <w:color w:val="1A223A"/>
                <w:sz w:val="19"/>
              </w:rPr>
              <w:t>Platform Admin, Tenant Admin, System Admin / IT</w:t>
            </w:r>
          </w:p>
        </w:tc>
        <w:tc>
          <w:tcPr>
            <w:tcW w:type="dxa" w:w="3744"/>
            <w:tcBorders>
              <w:top w:val="single" w:sz="4" w:color="B7C0D6"/>
              <w:left w:val="single" w:sz="4" w:color="B7C0D6"/>
              <w:bottom w:val="single" w:sz="4" w:color="B7C0D6"/>
              <w:right w:val="single" w:sz="4" w:color="B7C0D6"/>
            </w:tcBorders>
            <w:vAlign w:val="center"/>
          </w:tcPr>
          <w:p>
            <w:r/>
            <w:r>
              <w:rPr>
                <w:rFonts w:ascii="Calibri" w:hAnsi="Calibri"/>
                <w:color w:val="1A223A"/>
                <w:sz w:val="19"/>
              </w:rPr>
              <w:t>Highest privilege. Hardware-key MFA, dedicated admin workstations, all actions recorded.</w:t>
            </w:r>
          </w:p>
        </w:tc>
      </w:tr>
      <w:tr>
        <w:tc>
          <w:tcPr>
            <w:tcW w:type="dxa" w:w="259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Internal — HR</w:t>
            </w:r>
          </w:p>
        </w:tc>
        <w:tc>
          <w:tcPr>
            <w:tcW w:type="dxa" w:w="331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HR Director, HR Manager, HR Specialist</w:t>
            </w:r>
          </w:p>
        </w:tc>
        <w:tc>
          <w:tcPr>
            <w:tcW w:type="dxa" w:w="3744"/>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Broad but scoped to Egybell tenant. Cannot approve own payroll or approve own changes.</w:t>
            </w:r>
          </w:p>
        </w:tc>
      </w:tr>
      <w:tr>
        <w:tc>
          <w:tcPr>
            <w:tcW w:type="dxa" w:w="2592"/>
            <w:tcBorders>
              <w:top w:val="single" w:sz="4" w:color="B7C0D6"/>
              <w:left w:val="single" w:sz="4" w:color="B7C0D6"/>
              <w:bottom w:val="single" w:sz="4" w:color="B7C0D6"/>
              <w:right w:val="single" w:sz="4" w:color="B7C0D6"/>
            </w:tcBorders>
            <w:vAlign w:val="center"/>
          </w:tcPr>
          <w:p>
            <w:r/>
            <w:r>
              <w:rPr>
                <w:rFonts w:ascii="Calibri" w:hAnsi="Calibri"/>
                <w:color w:val="1A223A"/>
                <w:sz w:val="19"/>
              </w:rPr>
              <w:t>Internal — Payroll &amp; Finance</w:t>
            </w:r>
          </w:p>
        </w:tc>
        <w:tc>
          <w:tcPr>
            <w:tcW w:type="dxa" w:w="3312"/>
            <w:tcBorders>
              <w:top w:val="single" w:sz="4" w:color="B7C0D6"/>
              <w:left w:val="single" w:sz="4" w:color="B7C0D6"/>
              <w:bottom w:val="single" w:sz="4" w:color="B7C0D6"/>
              <w:right w:val="single" w:sz="4" w:color="B7C0D6"/>
            </w:tcBorders>
            <w:vAlign w:val="center"/>
          </w:tcPr>
          <w:p>
            <w:r/>
            <w:r>
              <w:rPr>
                <w:rFonts w:ascii="Calibri" w:hAnsi="Calibri"/>
                <w:color w:val="1A223A"/>
                <w:sz w:val="19"/>
              </w:rPr>
              <w:t>Payroll Officer, Finance Manager, Billing Officer</w:t>
            </w:r>
          </w:p>
        </w:tc>
        <w:tc>
          <w:tcPr>
            <w:tcW w:type="dxa" w:w="3744"/>
            <w:tcBorders>
              <w:top w:val="single" w:sz="4" w:color="B7C0D6"/>
              <w:left w:val="single" w:sz="4" w:color="B7C0D6"/>
              <w:bottom w:val="single" w:sz="4" w:color="B7C0D6"/>
              <w:right w:val="single" w:sz="4" w:color="B7C0D6"/>
            </w:tcBorders>
            <w:vAlign w:val="center"/>
          </w:tcPr>
          <w:p>
            <w:r/>
            <w:r>
              <w:rPr>
                <w:rFonts w:ascii="Calibri" w:hAnsi="Calibri"/>
                <w:color w:val="1A223A"/>
                <w:sz w:val="19"/>
              </w:rPr>
              <w:t>SoD enforced: the officer who runs payroll cannot be the approver.</w:t>
            </w:r>
          </w:p>
        </w:tc>
      </w:tr>
      <w:tr>
        <w:tc>
          <w:tcPr>
            <w:tcW w:type="dxa" w:w="259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Internal — Line management</w:t>
            </w:r>
          </w:p>
        </w:tc>
        <w:tc>
          <w:tcPr>
            <w:tcW w:type="dxa" w:w="331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Line Manager, Hiring Manager</w:t>
            </w:r>
          </w:p>
        </w:tc>
        <w:tc>
          <w:tcPr>
            <w:tcW w:type="dxa" w:w="3744"/>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Scoped to their direct reports / open requisitions. No access to compensation outside their span of control.</w:t>
            </w:r>
          </w:p>
        </w:tc>
      </w:tr>
      <w:tr>
        <w:tc>
          <w:tcPr>
            <w:tcW w:type="dxa" w:w="2592"/>
            <w:tcBorders>
              <w:top w:val="single" w:sz="4" w:color="B7C0D6"/>
              <w:left w:val="single" w:sz="4" w:color="B7C0D6"/>
              <w:bottom w:val="single" w:sz="4" w:color="B7C0D6"/>
              <w:right w:val="single" w:sz="4" w:color="B7C0D6"/>
            </w:tcBorders>
            <w:vAlign w:val="center"/>
          </w:tcPr>
          <w:p>
            <w:r/>
            <w:r>
              <w:rPr>
                <w:rFonts w:ascii="Calibri" w:hAnsi="Calibri"/>
                <w:color w:val="1A223A"/>
                <w:sz w:val="19"/>
              </w:rPr>
              <w:t>Internal — Recruitment</w:t>
            </w:r>
          </w:p>
        </w:tc>
        <w:tc>
          <w:tcPr>
            <w:tcW w:type="dxa" w:w="3312"/>
            <w:tcBorders>
              <w:top w:val="single" w:sz="4" w:color="B7C0D6"/>
              <w:left w:val="single" w:sz="4" w:color="B7C0D6"/>
              <w:bottom w:val="single" w:sz="4" w:color="B7C0D6"/>
              <w:right w:val="single" w:sz="4" w:color="B7C0D6"/>
            </w:tcBorders>
            <w:vAlign w:val="center"/>
          </w:tcPr>
          <w:p>
            <w:r/>
            <w:r>
              <w:rPr>
                <w:rFonts w:ascii="Calibri" w:hAnsi="Calibri"/>
                <w:color w:val="1A223A"/>
                <w:sz w:val="19"/>
              </w:rPr>
              <w:t>Recruiter</w:t>
            </w:r>
          </w:p>
        </w:tc>
        <w:tc>
          <w:tcPr>
            <w:tcW w:type="dxa" w:w="3744"/>
            <w:tcBorders>
              <w:top w:val="single" w:sz="4" w:color="B7C0D6"/>
              <w:left w:val="single" w:sz="4" w:color="B7C0D6"/>
              <w:bottom w:val="single" w:sz="4" w:color="B7C0D6"/>
              <w:right w:val="single" w:sz="4" w:color="B7C0D6"/>
            </w:tcBorders>
            <w:vAlign w:val="center"/>
          </w:tcPr>
          <w:p>
            <w:r/>
            <w:r>
              <w:rPr>
                <w:rFonts w:ascii="Calibri" w:hAnsi="Calibri"/>
                <w:color w:val="1A223A"/>
                <w:sz w:val="19"/>
              </w:rPr>
              <w:t>Full access to ATS; read-only view of candidate personal data after hire.</w:t>
            </w:r>
          </w:p>
        </w:tc>
      </w:tr>
      <w:tr>
        <w:tc>
          <w:tcPr>
            <w:tcW w:type="dxa" w:w="259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Internal — Employees</w:t>
            </w:r>
          </w:p>
        </w:tc>
        <w:tc>
          <w:tcPr>
            <w:tcW w:type="dxa" w:w="331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Employee (ESS)</w:t>
            </w:r>
          </w:p>
        </w:tc>
        <w:tc>
          <w:tcPr>
            <w:tcW w:type="dxa" w:w="3744"/>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Self-service only: own profile, own payslips, own documents, own leave and training.</w:t>
            </w:r>
          </w:p>
        </w:tc>
      </w:tr>
      <w:tr>
        <w:tc>
          <w:tcPr>
            <w:tcW w:type="dxa" w:w="2592"/>
            <w:tcBorders>
              <w:top w:val="single" w:sz="4" w:color="B7C0D6"/>
              <w:left w:val="single" w:sz="4" w:color="B7C0D6"/>
              <w:bottom w:val="single" w:sz="4" w:color="B7C0D6"/>
              <w:right w:val="single" w:sz="4" w:color="B7C0D6"/>
            </w:tcBorders>
            <w:vAlign w:val="center"/>
          </w:tcPr>
          <w:p>
            <w:r/>
            <w:r>
              <w:rPr>
                <w:rFonts w:ascii="Calibri" w:hAnsi="Calibri"/>
                <w:color w:val="1A223A"/>
                <w:sz w:val="19"/>
              </w:rPr>
              <w:t>External — Workforce</w:t>
            </w:r>
          </w:p>
        </w:tc>
        <w:tc>
          <w:tcPr>
            <w:tcW w:type="dxa" w:w="3312"/>
            <w:tcBorders>
              <w:top w:val="single" w:sz="4" w:color="B7C0D6"/>
              <w:left w:val="single" w:sz="4" w:color="B7C0D6"/>
              <w:bottom w:val="single" w:sz="4" w:color="B7C0D6"/>
              <w:right w:val="single" w:sz="4" w:color="B7C0D6"/>
            </w:tcBorders>
            <w:vAlign w:val="center"/>
          </w:tcPr>
          <w:p>
            <w:r/>
            <w:r>
              <w:rPr>
                <w:rFonts w:ascii="Calibri" w:hAnsi="Calibri"/>
                <w:color w:val="1A223A"/>
                <w:sz w:val="19"/>
              </w:rPr>
              <w:t>Contractor / Outsourced worker</w:t>
            </w:r>
          </w:p>
        </w:tc>
        <w:tc>
          <w:tcPr>
            <w:tcW w:type="dxa" w:w="3744"/>
            <w:tcBorders>
              <w:top w:val="single" w:sz="4" w:color="B7C0D6"/>
              <w:left w:val="single" w:sz="4" w:color="B7C0D6"/>
              <w:bottom w:val="single" w:sz="4" w:color="B7C0D6"/>
              <w:right w:val="single" w:sz="4" w:color="B7C0D6"/>
            </w:tcBorders>
            <w:vAlign w:val="center"/>
          </w:tcPr>
          <w:p>
            <w:r/>
            <w:r>
              <w:rPr>
                <w:rFonts w:ascii="Calibri" w:hAnsi="Calibri"/>
                <w:color w:val="1A223A"/>
                <w:sz w:val="19"/>
              </w:rPr>
              <w:t>Limited ESS profile; no access to internal HR data.</w:t>
            </w:r>
          </w:p>
        </w:tc>
      </w:tr>
      <w:tr>
        <w:tc>
          <w:tcPr>
            <w:tcW w:type="dxa" w:w="259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External — Clients</w:t>
            </w:r>
          </w:p>
        </w:tc>
        <w:tc>
          <w:tcPr>
            <w:tcW w:type="dxa" w:w="331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Client Admin</w:t>
            </w:r>
          </w:p>
        </w:tc>
        <w:tc>
          <w:tcPr>
            <w:tcW w:type="dxa" w:w="3744"/>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Read and limited-write access to the Client Portal for their own organisation only.</w:t>
            </w:r>
          </w:p>
        </w:tc>
      </w:tr>
      <w:tr>
        <w:tc>
          <w:tcPr>
            <w:tcW w:type="dxa" w:w="2592"/>
            <w:tcBorders>
              <w:top w:val="single" w:sz="4" w:color="B7C0D6"/>
              <w:left w:val="single" w:sz="4" w:color="B7C0D6"/>
              <w:bottom w:val="single" w:sz="4" w:color="B7C0D6"/>
              <w:right w:val="single" w:sz="4" w:color="B7C0D6"/>
            </w:tcBorders>
            <w:vAlign w:val="center"/>
          </w:tcPr>
          <w:p>
            <w:r/>
            <w:r>
              <w:rPr>
                <w:rFonts w:ascii="Calibri" w:hAnsi="Calibri"/>
                <w:color w:val="1A223A"/>
                <w:sz w:val="19"/>
              </w:rPr>
              <w:t>External — Oversight</w:t>
            </w:r>
          </w:p>
        </w:tc>
        <w:tc>
          <w:tcPr>
            <w:tcW w:type="dxa" w:w="3312"/>
            <w:tcBorders>
              <w:top w:val="single" w:sz="4" w:color="B7C0D6"/>
              <w:left w:val="single" w:sz="4" w:color="B7C0D6"/>
              <w:bottom w:val="single" w:sz="4" w:color="B7C0D6"/>
              <w:right w:val="single" w:sz="4" w:color="B7C0D6"/>
            </w:tcBorders>
            <w:vAlign w:val="center"/>
          </w:tcPr>
          <w:p>
            <w:r/>
            <w:r>
              <w:rPr>
                <w:rFonts w:ascii="Calibri" w:hAnsi="Calibri"/>
                <w:color w:val="1A223A"/>
                <w:sz w:val="19"/>
              </w:rPr>
              <w:t>Auditor / Compliance reviewer</w:t>
            </w:r>
          </w:p>
        </w:tc>
        <w:tc>
          <w:tcPr>
            <w:tcW w:type="dxa" w:w="3744"/>
            <w:tcBorders>
              <w:top w:val="single" w:sz="4" w:color="B7C0D6"/>
              <w:left w:val="single" w:sz="4" w:color="B7C0D6"/>
              <w:bottom w:val="single" w:sz="4" w:color="B7C0D6"/>
              <w:right w:val="single" w:sz="4" w:color="B7C0D6"/>
            </w:tcBorders>
            <w:vAlign w:val="center"/>
          </w:tcPr>
          <w:p>
            <w:r/>
            <w:r>
              <w:rPr>
                <w:rFonts w:ascii="Calibri" w:hAnsi="Calibri"/>
                <w:color w:val="1A223A"/>
                <w:sz w:val="19"/>
              </w:rPr>
              <w:t>Read-only; cannot export personal data without data-owner approval.</w:t>
            </w:r>
          </w:p>
        </w:tc>
      </w:tr>
      <w:tr>
        <w:tc>
          <w:tcPr>
            <w:tcW w:type="dxa" w:w="259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External — Candidates</w:t>
            </w:r>
          </w:p>
        </w:tc>
        <w:tc>
          <w:tcPr>
            <w:tcW w:type="dxa" w:w="331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Candidate</w:t>
            </w:r>
          </w:p>
        </w:tc>
        <w:tc>
          <w:tcPr>
            <w:tcW w:type="dxa" w:w="3744"/>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Self-service portal to apply, upload documents and track application status.</w:t>
            </w:r>
          </w:p>
        </w:tc>
      </w:tr>
      <w:tr>
        <w:tc>
          <w:tcPr>
            <w:tcW w:type="dxa" w:w="2592"/>
            <w:tcBorders>
              <w:top w:val="single" w:sz="4" w:color="B7C0D6"/>
              <w:left w:val="single" w:sz="4" w:color="B7C0D6"/>
              <w:bottom w:val="single" w:sz="4" w:color="B7C0D6"/>
              <w:right w:val="single" w:sz="4" w:color="B7C0D6"/>
            </w:tcBorders>
            <w:vAlign w:val="center"/>
          </w:tcPr>
          <w:p>
            <w:r/>
            <w:r>
              <w:rPr>
                <w:rFonts w:ascii="Calibri" w:hAnsi="Calibri"/>
                <w:color w:val="1A223A"/>
                <w:sz w:val="19"/>
              </w:rPr>
              <w:t>Machine</w:t>
            </w:r>
          </w:p>
        </w:tc>
        <w:tc>
          <w:tcPr>
            <w:tcW w:type="dxa" w:w="3312"/>
            <w:tcBorders>
              <w:top w:val="single" w:sz="4" w:color="B7C0D6"/>
              <w:left w:val="single" w:sz="4" w:color="B7C0D6"/>
              <w:bottom w:val="single" w:sz="4" w:color="B7C0D6"/>
              <w:right w:val="single" w:sz="4" w:color="B7C0D6"/>
            </w:tcBorders>
            <w:vAlign w:val="center"/>
          </w:tcPr>
          <w:p>
            <w:r/>
            <w:r>
              <w:rPr>
                <w:rFonts w:ascii="Calibri" w:hAnsi="Calibri"/>
                <w:color w:val="1A223A"/>
                <w:sz w:val="19"/>
              </w:rPr>
              <w:t>API Consumer (service account)</w:t>
            </w:r>
          </w:p>
        </w:tc>
        <w:tc>
          <w:tcPr>
            <w:tcW w:type="dxa" w:w="3744"/>
            <w:tcBorders>
              <w:top w:val="single" w:sz="4" w:color="B7C0D6"/>
              <w:left w:val="single" w:sz="4" w:color="B7C0D6"/>
              <w:bottom w:val="single" w:sz="4" w:color="B7C0D6"/>
              <w:right w:val="single" w:sz="4" w:color="B7C0D6"/>
            </w:tcBorders>
            <w:vAlign w:val="center"/>
          </w:tcPr>
          <w:p>
            <w:r/>
            <w:r>
              <w:rPr>
                <w:rFonts w:ascii="Calibri" w:hAnsi="Calibri"/>
                <w:color w:val="1A223A"/>
                <w:sz w:val="19"/>
              </w:rPr>
              <w:t>Non-interactive; scoped to specific endpoints; rotated credentials; no UI login.</w:t>
            </w:r>
          </w:p>
        </w:tc>
      </w:tr>
    </w:tbl>
    <w:tbl>
      <w:tblPr>
        <w:tblW w:type="auto" w:w="0"/>
        <w:tblLayout w:type="fixed"/>
        <w:tblLook w:firstColumn="1" w:firstRow="1" w:lastColumn="0" w:lastRow="0" w:noHBand="0" w:noVBand="1" w:val="04A0"/>
      </w:tblPr>
      <w:tblGrid>
        <w:gridCol w:w="115"/>
        <w:gridCol w:w="8928"/>
      </w:tblGrid>
      <w:tr>
        <w:tc>
          <w:tcPr>
            <w:tcW w:type="dxa" w:w="4873"/>
            <w:shd w:val="clear" w:color="auto" w:fill="2F6BFF"/>
          </w:tcPr>
          <w:p>
            <w:r/>
          </w:p>
        </w:tc>
        <w:tc>
          <w:tcPr>
            <w:tcW w:type="dxa" w:w="4873"/>
            <w:shd w:val="clear" w:color="auto" w:fill="E8ECF3"/>
          </w:tcPr>
          <w:p>
            <w:pPr>
              <w:spacing w:before="60" w:after="60"/>
            </w:pPr>
            <w:r>
              <w:rPr>
                <w:b/>
                <w:color w:val="0B1437"/>
                <w:sz w:val="19"/>
              </w:rPr>
              <w:t xml:space="preserve">See →  </w:t>
            </w:r>
            <w:r>
              <w:rPr>
                <w:color w:val="1A223A"/>
                <w:sz w:val="19"/>
              </w:rPr>
              <w:t>The full Role × Module × Action permission set is maintained in Praxion-User-Access-Matrix.xlsx. That workbook is the authoritative source; this policy describes the rules under which that matrix is changed and enforced.</w:t>
            </w:r>
          </w:p>
        </w:tc>
      </w:tr>
    </w:tbl>
    <w:p>
      <w:pPr>
        <w:spacing w:before="360" w:after="120"/>
        <w:pBdr>
          <w:bottom w:val="single" w:sz="8" w:color="2F6BFF"/>
        </w:pBdr>
      </w:pPr>
      <w:r>
        <w:rPr>
          <w:rFonts w:ascii="Calibri" w:hAnsi="Calibri"/>
          <w:b/>
          <w:color w:val="0B1437"/>
          <w:sz w:val="36"/>
        </w:rPr>
        <w:t>6.  Access Request &amp; Approval</w:t>
      </w:r>
    </w:p>
    <w:p>
      <w:pPr>
        <w:spacing w:before="240" w:after="80"/>
      </w:pPr>
      <w:r>
        <w:rPr>
          <w:rFonts w:ascii="Calibri" w:hAnsi="Calibri"/>
          <w:b/>
          <w:color w:val="1E2A5E"/>
          <w:sz w:val="26"/>
        </w:rPr>
        <w:t>6.1  Standard access requests</w:t>
      </w:r>
    </w:p>
    <w:p>
      <w:pPr>
        <w:pStyle w:val="ListNumber"/>
      </w:pPr>
      <w:r>
        <w:t>The requester (or their line manager) raises a ticket in the IT Service Management system specifying: (a) the user identity, (b) the role(s) requested, (c) the business justification and (d) the intended duration (permanent or temporary).</w:t>
      </w:r>
    </w:p>
    <w:p>
      <w:pPr>
        <w:pStyle w:val="ListNumber"/>
      </w:pPr>
      <w:r>
        <w:t>IT triages the request and routes it to the Data Owner for each module covered by the requested role.</w:t>
      </w:r>
    </w:p>
    <w:p>
      <w:pPr>
        <w:pStyle w:val="ListNumber"/>
      </w:pPr>
      <w:r>
        <w:t>The Data Owner approves or rejects within 2 business days. Rejections must cite the principle or SoD rule that was violated.</w:t>
      </w:r>
    </w:p>
    <w:p>
      <w:pPr>
        <w:pStyle w:val="ListNumber"/>
      </w:pPr>
      <w:r>
        <w:t>Upon approval, IT provisions the role assignment through the IdP / Praxion admin console within 1 business day. Any deviation from the approved scope is treated as a security incident.</w:t>
      </w:r>
    </w:p>
    <w:p>
      <w:pPr>
        <w:pStyle w:val="ListNumber"/>
      </w:pPr>
      <w:r>
        <w:t>The requester is notified and must acknowledge the acceptable-use terms on first login.</w:t>
      </w:r>
    </w:p>
    <w:p>
      <w:pPr>
        <w:spacing w:before="240" w:after="80"/>
      </w:pPr>
      <w:r>
        <w:rPr>
          <w:rFonts w:ascii="Calibri" w:hAnsi="Calibri"/>
          <w:b/>
          <w:color w:val="1E2A5E"/>
          <w:sz w:val="26"/>
        </w:rPr>
        <w:t>6.2  Privileged access requests</w:t>
      </w:r>
    </w:p>
    <w:p>
      <w:r>
        <w:t>Privileged roles (Platform Admin, Tenant Admin, System Admin, direct database access, production infrastructure) additionally require:</w:t>
      </w:r>
    </w:p>
    <w:p>
      <w:pPr>
        <w:pStyle w:val="ListBullet"/>
        <w:ind w:left="360"/>
      </w:pPr>
      <w:r>
        <w:t>A second approver at CISO or CTO level.</w:t>
      </w:r>
    </w:p>
    <w:p>
      <w:pPr>
        <w:pStyle w:val="ListBullet"/>
        <w:ind w:left="360"/>
      </w:pPr>
      <w:r>
        <w:t>A time-bound assignment of no more than 90 days, after which the role must be re-approved.</w:t>
      </w:r>
    </w:p>
    <w:p>
      <w:pPr>
        <w:pStyle w:val="ListBullet"/>
        <w:ind w:left="360"/>
      </w:pPr>
      <w:r>
        <w:t>Enrolment in the Privileged Access Management (PAM) tool, with session recording enabled.</w:t>
      </w:r>
    </w:p>
    <w:p>
      <w:pPr>
        <w:spacing w:before="240" w:after="80"/>
      </w:pPr>
      <w:r>
        <w:rPr>
          <w:rFonts w:ascii="Calibri" w:hAnsi="Calibri"/>
          <w:b/>
          <w:color w:val="1E2A5E"/>
          <w:sz w:val="26"/>
        </w:rPr>
        <w:t>6.3  Emergency / break-glass access</w:t>
      </w:r>
    </w:p>
    <w:p>
      <w:r>
        <w:t>Break-glass accounts exist for each critical module and are stored in a sealed credential vault. A break-glass event is authorised only when normal administrative paths are unavailable and a Severity-1 incident has been declared. Every break-glass use triggers an immediate alert to the CISO and a mandatory post-incident review within 5 business days.</w:t>
      </w:r>
    </w:p>
    <w:p>
      <w:pPr>
        <w:spacing w:before="360" w:after="120"/>
        <w:pBdr>
          <w:bottom w:val="single" w:sz="8" w:color="2F6BFF"/>
        </w:pBdr>
      </w:pPr>
      <w:r>
        <w:rPr>
          <w:rFonts w:ascii="Calibri" w:hAnsi="Calibri"/>
          <w:b/>
          <w:color w:val="0B1437"/>
          <w:sz w:val="36"/>
        </w:rPr>
        <w:t>7.  Joiner, Mover, Leaver (JML)</w:t>
      </w:r>
    </w:p>
    <w:p>
      <w:r>
        <w:t>Access lifecycle events are driven by Praxion Core HRIS, which is the source of truth for employment status. People Operations is accountable for ensuring HRIS is accurate; IT consumes HRIS events to execute the corresponding access changes.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016"/>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Event</w:t>
            </w:r>
          </w:p>
        </w:tc>
        <w:tc>
          <w:tcPr>
            <w:tcW w:type="dxa" w:w="2304"/>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Trigger</w:t>
            </w:r>
          </w:p>
        </w:tc>
        <w:tc>
          <w:tcPr>
            <w:tcW w:type="dxa" w:w="3456"/>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Action</w:t>
            </w:r>
          </w:p>
        </w:tc>
        <w:tc>
          <w:tcPr>
            <w:tcW w:type="dxa" w:w="1872"/>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SLA</w:t>
            </w:r>
          </w:p>
        </w:tc>
      </w:tr>
      <w:tr>
        <w:tc>
          <w:tcPr>
            <w:tcW w:type="dxa" w:w="2016"/>
            <w:tcBorders>
              <w:top w:val="single" w:sz="4" w:color="B7C0D6"/>
              <w:left w:val="single" w:sz="4" w:color="B7C0D6"/>
              <w:bottom w:val="single" w:sz="4" w:color="B7C0D6"/>
              <w:right w:val="single" w:sz="4" w:color="B7C0D6"/>
            </w:tcBorders>
            <w:vAlign w:val="center"/>
          </w:tcPr>
          <w:p>
            <w:r/>
            <w:r>
              <w:rPr>
                <w:rFonts w:ascii="Calibri" w:hAnsi="Calibri"/>
                <w:color w:val="1A223A"/>
                <w:sz w:val="19"/>
              </w:rPr>
              <w:t>Joiner</w:t>
            </w:r>
          </w:p>
        </w:tc>
        <w:tc>
          <w:tcPr>
            <w:tcW w:type="dxa" w:w="2304"/>
            <w:tcBorders>
              <w:top w:val="single" w:sz="4" w:color="B7C0D6"/>
              <w:left w:val="single" w:sz="4" w:color="B7C0D6"/>
              <w:bottom w:val="single" w:sz="4" w:color="B7C0D6"/>
              <w:right w:val="single" w:sz="4" w:color="B7C0D6"/>
            </w:tcBorders>
            <w:vAlign w:val="center"/>
          </w:tcPr>
          <w:p>
            <w:r/>
            <w:r>
              <w:rPr>
                <w:rFonts w:ascii="Calibri" w:hAnsi="Calibri"/>
                <w:color w:val="1A223A"/>
                <w:sz w:val="19"/>
              </w:rPr>
              <w:t>New hire contract signed</w:t>
            </w:r>
          </w:p>
        </w:tc>
        <w:tc>
          <w:tcPr>
            <w:tcW w:type="dxa" w:w="3456"/>
            <w:tcBorders>
              <w:top w:val="single" w:sz="4" w:color="B7C0D6"/>
              <w:left w:val="single" w:sz="4" w:color="B7C0D6"/>
              <w:bottom w:val="single" w:sz="4" w:color="B7C0D6"/>
              <w:right w:val="single" w:sz="4" w:color="B7C0D6"/>
            </w:tcBorders>
            <w:vAlign w:val="center"/>
          </w:tcPr>
          <w:p>
            <w:r/>
            <w:r>
              <w:rPr>
                <w:rFonts w:ascii="Calibri" w:hAnsi="Calibri"/>
                <w:color w:val="1A223A"/>
                <w:sz w:val="19"/>
              </w:rPr>
              <w:t>IT provisions default Employee role + any role approved as part of onboarding</w:t>
            </w:r>
          </w:p>
        </w:tc>
        <w:tc>
          <w:tcPr>
            <w:tcW w:type="dxa" w:w="1872"/>
            <w:tcBorders>
              <w:top w:val="single" w:sz="4" w:color="B7C0D6"/>
              <w:left w:val="single" w:sz="4" w:color="B7C0D6"/>
              <w:bottom w:val="single" w:sz="4" w:color="B7C0D6"/>
              <w:right w:val="single" w:sz="4" w:color="B7C0D6"/>
            </w:tcBorders>
            <w:vAlign w:val="center"/>
          </w:tcPr>
          <w:p>
            <w:r/>
            <w:r>
              <w:rPr>
                <w:rFonts w:ascii="Calibri" w:hAnsi="Calibri"/>
                <w:color w:val="1A223A"/>
                <w:sz w:val="19"/>
              </w:rPr>
              <w:t>≤ 1 business day from start date</w:t>
            </w:r>
          </w:p>
        </w:tc>
      </w:tr>
      <w:tr>
        <w:tc>
          <w:tcPr>
            <w:tcW w:type="dxa" w:w="201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Mover — role change</w:t>
            </w:r>
          </w:p>
        </w:tc>
        <w:tc>
          <w:tcPr>
            <w:tcW w:type="dxa" w:w="2304"/>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HRIS position change</w:t>
            </w:r>
          </w:p>
        </w:tc>
        <w:tc>
          <w:tcPr>
            <w:tcW w:type="dxa" w:w="345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Old role revoked; new role provisioned after Data Owner approval</w:t>
            </w:r>
          </w:p>
        </w:tc>
        <w:tc>
          <w:tcPr>
            <w:tcW w:type="dxa" w:w="187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 2 business days</w:t>
            </w:r>
          </w:p>
        </w:tc>
      </w:tr>
      <w:tr>
        <w:tc>
          <w:tcPr>
            <w:tcW w:type="dxa" w:w="2016"/>
            <w:tcBorders>
              <w:top w:val="single" w:sz="4" w:color="B7C0D6"/>
              <w:left w:val="single" w:sz="4" w:color="B7C0D6"/>
              <w:bottom w:val="single" w:sz="4" w:color="B7C0D6"/>
              <w:right w:val="single" w:sz="4" w:color="B7C0D6"/>
            </w:tcBorders>
            <w:vAlign w:val="center"/>
          </w:tcPr>
          <w:p>
            <w:r/>
            <w:r>
              <w:rPr>
                <w:rFonts w:ascii="Calibri" w:hAnsi="Calibri"/>
                <w:color w:val="1A223A"/>
                <w:sz w:val="19"/>
              </w:rPr>
              <w:t>Mover — transfer</w:t>
            </w:r>
          </w:p>
        </w:tc>
        <w:tc>
          <w:tcPr>
            <w:tcW w:type="dxa" w:w="2304"/>
            <w:tcBorders>
              <w:top w:val="single" w:sz="4" w:color="B7C0D6"/>
              <w:left w:val="single" w:sz="4" w:color="B7C0D6"/>
              <w:bottom w:val="single" w:sz="4" w:color="B7C0D6"/>
              <w:right w:val="single" w:sz="4" w:color="B7C0D6"/>
            </w:tcBorders>
            <w:vAlign w:val="center"/>
          </w:tcPr>
          <w:p>
            <w:r/>
            <w:r>
              <w:rPr>
                <w:rFonts w:ascii="Calibri" w:hAnsi="Calibri"/>
                <w:color w:val="1A223A"/>
                <w:sz w:val="19"/>
              </w:rPr>
              <w:t>HRIS department / BU change</w:t>
            </w:r>
          </w:p>
        </w:tc>
        <w:tc>
          <w:tcPr>
            <w:tcW w:type="dxa" w:w="3456"/>
            <w:tcBorders>
              <w:top w:val="single" w:sz="4" w:color="B7C0D6"/>
              <w:left w:val="single" w:sz="4" w:color="B7C0D6"/>
              <w:bottom w:val="single" w:sz="4" w:color="B7C0D6"/>
              <w:right w:val="single" w:sz="4" w:color="B7C0D6"/>
            </w:tcBorders>
            <w:vAlign w:val="center"/>
          </w:tcPr>
          <w:p>
            <w:r/>
            <w:r>
              <w:rPr>
                <w:rFonts w:ascii="Calibri" w:hAnsi="Calibri"/>
                <w:color w:val="1A223A"/>
                <w:sz w:val="19"/>
              </w:rPr>
              <w:t>Scope boundaries updated; departmental data re-certified by new Data Owner</w:t>
            </w:r>
          </w:p>
        </w:tc>
        <w:tc>
          <w:tcPr>
            <w:tcW w:type="dxa" w:w="1872"/>
            <w:tcBorders>
              <w:top w:val="single" w:sz="4" w:color="B7C0D6"/>
              <w:left w:val="single" w:sz="4" w:color="B7C0D6"/>
              <w:bottom w:val="single" w:sz="4" w:color="B7C0D6"/>
              <w:right w:val="single" w:sz="4" w:color="B7C0D6"/>
            </w:tcBorders>
            <w:vAlign w:val="center"/>
          </w:tcPr>
          <w:p>
            <w:r/>
            <w:r>
              <w:rPr>
                <w:rFonts w:ascii="Calibri" w:hAnsi="Calibri"/>
                <w:color w:val="1A223A"/>
                <w:sz w:val="19"/>
              </w:rPr>
              <w:t>≤ 2 business days</w:t>
            </w:r>
          </w:p>
        </w:tc>
      </w:tr>
      <w:tr>
        <w:tc>
          <w:tcPr>
            <w:tcW w:type="dxa" w:w="201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Leaver — resignation</w:t>
            </w:r>
          </w:p>
        </w:tc>
        <w:tc>
          <w:tcPr>
            <w:tcW w:type="dxa" w:w="2304"/>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HRIS termination date entered</w:t>
            </w:r>
          </w:p>
        </w:tc>
        <w:tc>
          <w:tcPr>
            <w:tcW w:type="dxa" w:w="345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All roles disabled at 00:00 on last working day; account archived after 30 days</w:t>
            </w:r>
          </w:p>
        </w:tc>
        <w:tc>
          <w:tcPr>
            <w:tcW w:type="dxa" w:w="187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Same day as termination</w:t>
            </w:r>
          </w:p>
        </w:tc>
      </w:tr>
      <w:tr>
        <w:tc>
          <w:tcPr>
            <w:tcW w:type="dxa" w:w="2016"/>
            <w:tcBorders>
              <w:top w:val="single" w:sz="4" w:color="B7C0D6"/>
              <w:left w:val="single" w:sz="4" w:color="B7C0D6"/>
              <w:bottom w:val="single" w:sz="4" w:color="B7C0D6"/>
              <w:right w:val="single" w:sz="4" w:color="B7C0D6"/>
            </w:tcBorders>
            <w:vAlign w:val="center"/>
          </w:tcPr>
          <w:p>
            <w:r/>
            <w:r>
              <w:rPr>
                <w:rFonts w:ascii="Calibri" w:hAnsi="Calibri"/>
                <w:color w:val="1A223A"/>
                <w:sz w:val="19"/>
              </w:rPr>
              <w:t>Leaver — immediate</w:t>
            </w:r>
          </w:p>
        </w:tc>
        <w:tc>
          <w:tcPr>
            <w:tcW w:type="dxa" w:w="2304"/>
            <w:tcBorders>
              <w:top w:val="single" w:sz="4" w:color="B7C0D6"/>
              <w:left w:val="single" w:sz="4" w:color="B7C0D6"/>
              <w:bottom w:val="single" w:sz="4" w:color="B7C0D6"/>
              <w:right w:val="single" w:sz="4" w:color="B7C0D6"/>
            </w:tcBorders>
            <w:vAlign w:val="center"/>
          </w:tcPr>
          <w:p>
            <w:r/>
            <w:r>
              <w:rPr>
                <w:rFonts w:ascii="Calibri" w:hAnsi="Calibri"/>
                <w:color w:val="1A223A"/>
                <w:sz w:val="19"/>
              </w:rPr>
              <w:t>Dismissal / security event</w:t>
            </w:r>
          </w:p>
        </w:tc>
        <w:tc>
          <w:tcPr>
            <w:tcW w:type="dxa" w:w="3456"/>
            <w:tcBorders>
              <w:top w:val="single" w:sz="4" w:color="B7C0D6"/>
              <w:left w:val="single" w:sz="4" w:color="B7C0D6"/>
              <w:bottom w:val="single" w:sz="4" w:color="B7C0D6"/>
              <w:right w:val="single" w:sz="4" w:color="B7C0D6"/>
            </w:tcBorders>
            <w:vAlign w:val="center"/>
          </w:tcPr>
          <w:p>
            <w:r/>
            <w:r>
              <w:rPr>
                <w:rFonts w:ascii="Calibri" w:hAnsi="Calibri"/>
                <w:color w:val="1A223A"/>
                <w:sz w:val="19"/>
              </w:rPr>
              <w:t>All roles and sessions terminated immediately; hardware recovered; forensic copy preserved</w:t>
            </w:r>
          </w:p>
        </w:tc>
        <w:tc>
          <w:tcPr>
            <w:tcW w:type="dxa" w:w="1872"/>
            <w:tcBorders>
              <w:top w:val="single" w:sz="4" w:color="B7C0D6"/>
              <w:left w:val="single" w:sz="4" w:color="B7C0D6"/>
              <w:bottom w:val="single" w:sz="4" w:color="B7C0D6"/>
              <w:right w:val="single" w:sz="4" w:color="B7C0D6"/>
            </w:tcBorders>
            <w:vAlign w:val="center"/>
          </w:tcPr>
          <w:p>
            <w:r/>
            <w:r>
              <w:rPr>
                <w:rFonts w:ascii="Calibri" w:hAnsi="Calibri"/>
                <w:color w:val="1A223A"/>
                <w:sz w:val="19"/>
              </w:rPr>
              <w:t>≤ 1 hour from trigger</w:t>
            </w:r>
          </w:p>
        </w:tc>
      </w:tr>
      <w:tr>
        <w:tc>
          <w:tcPr>
            <w:tcW w:type="dxa" w:w="201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Extended leave</w:t>
            </w:r>
          </w:p>
        </w:tc>
        <w:tc>
          <w:tcPr>
            <w:tcW w:type="dxa" w:w="2304"/>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&gt; 30 days absence</w:t>
            </w:r>
          </w:p>
        </w:tc>
        <w:tc>
          <w:tcPr>
            <w:tcW w:type="dxa" w:w="345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Account disabled; re-enabled on return by IT with Data Owner approval</w:t>
            </w:r>
          </w:p>
        </w:tc>
        <w:tc>
          <w:tcPr>
            <w:tcW w:type="dxa" w:w="187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Within 5 business days of leave start</w:t>
            </w:r>
          </w:p>
        </w:tc>
      </w:tr>
    </w:tbl>
    <w:tbl>
      <w:tblPr>
        <w:tblW w:type="auto" w:w="0"/>
        <w:tblLayout w:type="fixed"/>
        <w:tblLook w:firstColumn="1" w:firstRow="1" w:lastColumn="0" w:lastRow="0" w:noHBand="0" w:noVBand="1" w:val="04A0"/>
      </w:tblPr>
      <w:tblGrid>
        <w:gridCol w:w="115"/>
        <w:gridCol w:w="8928"/>
      </w:tblGrid>
      <w:tr>
        <w:tc>
          <w:tcPr>
            <w:tcW w:type="dxa" w:w="4873"/>
            <w:shd w:val="clear" w:color="auto" w:fill="2F6BFF"/>
          </w:tcPr>
          <w:p>
            <w:r/>
          </w:p>
        </w:tc>
        <w:tc>
          <w:tcPr>
            <w:tcW w:type="dxa" w:w="4873"/>
            <w:shd w:val="clear" w:color="auto" w:fill="E8ECF3"/>
          </w:tcPr>
          <w:p>
            <w:pPr>
              <w:spacing w:before="60" w:after="60"/>
            </w:pPr>
            <w:r>
              <w:rPr>
                <w:b/>
                <w:color w:val="0B1437"/>
                <w:sz w:val="19"/>
              </w:rPr>
              <w:t xml:space="preserve">Control linkage  </w:t>
            </w:r>
            <w:r>
              <w:rPr>
                <w:color w:val="1A223A"/>
                <w:sz w:val="19"/>
              </w:rPr>
              <w:t>Every JML event generates a ticket in the ITSM tool that is retained for 3 years as audit evidence. A monthly reconciliation compares HRIS terminations against active Praxion accounts; any orphan account is treated as a control failure.</w:t>
            </w:r>
          </w:p>
        </w:tc>
      </w:tr>
    </w:tbl>
    <w:p>
      <w:pPr>
        <w:spacing w:before="360" w:after="120"/>
        <w:pBdr>
          <w:bottom w:val="single" w:sz="8" w:color="2F6BFF"/>
        </w:pBdr>
      </w:pPr>
      <w:r>
        <w:rPr>
          <w:rFonts w:ascii="Calibri" w:hAnsi="Calibri"/>
          <w:b/>
          <w:color w:val="0B1437"/>
          <w:sz w:val="36"/>
        </w:rPr>
        <w:t>8.  Access Review, Revocation &amp; Retention</w:t>
      </w:r>
    </w:p>
    <w:p>
      <w:pPr>
        <w:spacing w:before="240" w:after="80"/>
      </w:pPr>
      <w:r>
        <w:rPr>
          <w:rFonts w:ascii="Calibri" w:hAnsi="Calibri"/>
          <w:b/>
          <w:color w:val="1E2A5E"/>
          <w:sz w:val="26"/>
        </w:rPr>
        <w:t>8.1  Periodic access reviews</w:t>
      </w:r>
    </w:p>
    <w:p>
      <w:pPr>
        <w:pStyle w:val="ListBullet"/>
        <w:ind w:left="360"/>
      </w:pPr>
      <w:r>
        <w:t>Standard roles — reviewed quarterly by the relevant Data Owner. The review compares the active assignments for their module against the approved role definitions.</w:t>
      </w:r>
    </w:p>
    <w:p>
      <w:pPr>
        <w:pStyle w:val="ListBullet"/>
        <w:ind w:left="360"/>
      </w:pPr>
      <w:r>
        <w:t>Privileged roles — reviewed monthly by the CISO.</w:t>
      </w:r>
    </w:p>
    <w:p>
      <w:pPr>
        <w:pStyle w:val="ListBullet"/>
        <w:ind w:left="360"/>
      </w:pPr>
      <w:r>
        <w:t>External user accounts (clients, auditors, contractors) — reviewed quarterly; any account inactive for 60 days is automatically disabled.</w:t>
      </w:r>
    </w:p>
    <w:p>
      <w:pPr>
        <w:pStyle w:val="ListBullet"/>
        <w:ind w:left="360"/>
      </w:pPr>
      <w:r>
        <w:t>Service / API accounts — reviewed quarterly; ownership, scope and last use recorded.</w:t>
      </w:r>
    </w:p>
    <w:p>
      <w:pPr>
        <w:spacing w:before="240" w:after="80"/>
      </w:pPr>
      <w:r>
        <w:rPr>
          <w:rFonts w:ascii="Calibri" w:hAnsi="Calibri"/>
          <w:b/>
          <w:color w:val="1E2A5E"/>
          <w:sz w:val="26"/>
        </w:rPr>
        <w:t>8.2  Review outcomes</w:t>
      </w:r>
    </w:p>
    <w:p>
      <w:r>
        <w:t>Each reviewer must, for every assignment: (a) confirm it is still required, (b) request modification, or (c) request revocation. Revocations are executed by IT within 2 business days. A review is not considered complete until 100% of assignments are explicitly dispositioned.</w:t>
      </w:r>
    </w:p>
    <w:p>
      <w:pPr>
        <w:spacing w:before="240" w:after="80"/>
      </w:pPr>
      <w:r>
        <w:rPr>
          <w:rFonts w:ascii="Calibri" w:hAnsi="Calibri"/>
          <w:b/>
          <w:color w:val="1E2A5E"/>
          <w:sz w:val="26"/>
        </w:rPr>
        <w:t>8.3  Revocation triggers</w:t>
      </w:r>
    </w:p>
    <w:p>
      <w:pPr>
        <w:pStyle w:val="ListBullet"/>
        <w:ind w:left="360"/>
      </w:pPr>
      <w:r>
        <w:t>Termination of employment or contract (see §7).</w:t>
      </w:r>
    </w:p>
    <w:p>
      <w:pPr>
        <w:pStyle w:val="ListBullet"/>
        <w:ind w:left="360"/>
      </w:pPr>
      <w:r>
        <w:t>Role change that renders a permission unnecessary.</w:t>
      </w:r>
    </w:p>
    <w:p>
      <w:pPr>
        <w:pStyle w:val="ListBullet"/>
        <w:ind w:left="360"/>
      </w:pPr>
      <w:r>
        <w:t>Failed access review.</w:t>
      </w:r>
    </w:p>
    <w:p>
      <w:pPr>
        <w:pStyle w:val="ListBullet"/>
        <w:ind w:left="360"/>
      </w:pPr>
      <w:r>
        <w:t>Inactivity: human accounts idle for 90 days; API credentials idle for 180 days.</w:t>
      </w:r>
    </w:p>
    <w:p>
      <w:pPr>
        <w:pStyle w:val="ListBullet"/>
        <w:ind w:left="360"/>
      </w:pPr>
      <w:r>
        <w:t>Policy violation confirmed through incident response.</w:t>
      </w:r>
    </w:p>
    <w:p>
      <w:pPr>
        <w:spacing w:before="240" w:after="80"/>
      </w:pPr>
      <w:r>
        <w:rPr>
          <w:rFonts w:ascii="Calibri" w:hAnsi="Calibri"/>
          <w:b/>
          <w:color w:val="1E2A5E"/>
          <w:sz w:val="26"/>
        </w:rPr>
        <w:t>8.4  Data retention after revocation</w:t>
      </w:r>
    </w:p>
    <w:p>
      <w:pPr>
        <w:pStyle w:val="ListBullet"/>
        <w:ind w:left="360"/>
      </w:pPr>
      <w:r>
        <w:t>User accounts are retained in disabled state for 30 days to allow recovery, then archived.</w:t>
      </w:r>
    </w:p>
    <w:p>
      <w:pPr>
        <w:pStyle w:val="ListBullet"/>
        <w:ind w:left="360"/>
      </w:pPr>
      <w:r>
        <w:t>Access logs are retained for a minimum of 12 months online and 7 years in cold storage for payroll-related actions, in line with Egyptian record-keeping requirements.</w:t>
      </w:r>
    </w:p>
    <w:p>
      <w:pPr>
        <w:pStyle w:val="ListBullet"/>
        <w:ind w:left="360"/>
      </w:pPr>
      <w:r>
        <w:t>Audit-trail data is immutable and may not be deleted without CISO and Legal sign-off.</w:t>
      </w:r>
    </w:p>
    <w:p>
      <w:pPr>
        <w:spacing w:before="360" w:after="120"/>
        <w:pBdr>
          <w:bottom w:val="single" w:sz="8" w:color="2F6BFF"/>
        </w:pBdr>
      </w:pPr>
      <w:r>
        <w:rPr>
          <w:rFonts w:ascii="Calibri" w:hAnsi="Calibri"/>
          <w:b/>
          <w:color w:val="0B1437"/>
          <w:sz w:val="36"/>
        </w:rPr>
        <w:t>9.  Authentication, Credentials &amp; Sessions</w:t>
      </w:r>
    </w:p>
    <w:p>
      <w:pPr>
        <w:spacing w:before="240" w:after="80"/>
      </w:pPr>
      <w:r>
        <w:rPr>
          <w:rFonts w:ascii="Calibri" w:hAnsi="Calibri"/>
          <w:b/>
          <w:color w:val="1E2A5E"/>
          <w:sz w:val="26"/>
        </w:rPr>
        <w:t>9.1  Authentication requirements</w:t>
      </w:r>
    </w:p>
    <w:tbl>
      <w:tblPr>
        <w:tblW w:type="auto" w:w="0"/>
        <w:jc w:val="center"/>
        <w:tblLayout w:type="fixed"/>
        <w:tblLook w:firstColumn="1" w:firstRow="1" w:lastColumn="0" w:lastRow="0" w:noHBand="0" w:noVBand="1" w:val="04A0"/>
      </w:tblPr>
      <w:tblGrid>
        <w:gridCol w:w="4873"/>
        <w:gridCol w:w="4873"/>
      </w:tblGrid>
      <w:tr>
        <w:tc>
          <w:tcPr>
            <w:tcW w:type="dxa" w:w="3600"/>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Identity class</w:t>
            </w:r>
          </w:p>
        </w:tc>
        <w:tc>
          <w:tcPr>
            <w:tcW w:type="dxa" w:w="6048"/>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Required authentication</w:t>
            </w:r>
          </w:p>
        </w:tc>
      </w:tr>
      <w:tr>
        <w:tc>
          <w:tcPr>
            <w:tcW w:type="dxa" w:w="3600"/>
            <w:tcBorders>
              <w:top w:val="single" w:sz="4" w:color="B7C0D6"/>
              <w:left w:val="single" w:sz="4" w:color="B7C0D6"/>
              <w:bottom w:val="single" w:sz="4" w:color="B7C0D6"/>
              <w:right w:val="single" w:sz="4" w:color="B7C0D6"/>
            </w:tcBorders>
            <w:vAlign w:val="center"/>
          </w:tcPr>
          <w:p>
            <w:r/>
            <w:r>
              <w:rPr>
                <w:rFonts w:ascii="Calibri" w:hAnsi="Calibri"/>
                <w:color w:val="1A223A"/>
                <w:sz w:val="19"/>
              </w:rPr>
              <w:t>Employees (web &amp; mobile)</w:t>
            </w:r>
          </w:p>
        </w:tc>
        <w:tc>
          <w:tcPr>
            <w:tcW w:type="dxa" w:w="6048"/>
            <w:tcBorders>
              <w:top w:val="single" w:sz="4" w:color="B7C0D6"/>
              <w:left w:val="single" w:sz="4" w:color="B7C0D6"/>
              <w:bottom w:val="single" w:sz="4" w:color="B7C0D6"/>
              <w:right w:val="single" w:sz="4" w:color="B7C0D6"/>
            </w:tcBorders>
            <w:vAlign w:val="center"/>
          </w:tcPr>
          <w:p>
            <w:r/>
            <w:r>
              <w:rPr>
                <w:rFonts w:ascii="Calibri" w:hAnsi="Calibri"/>
                <w:color w:val="1A223A"/>
                <w:sz w:val="19"/>
              </w:rPr>
              <w:t>Corporate SSO (OIDC) + TOTP / push MFA</w:t>
            </w:r>
          </w:p>
        </w:tc>
      </w:tr>
      <w:tr>
        <w:tc>
          <w:tcPr>
            <w:tcW w:type="dxa" w:w="360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HR, Payroll, Finance</w:t>
            </w:r>
          </w:p>
        </w:tc>
        <w:tc>
          <w:tcPr>
            <w:tcW w:type="dxa" w:w="604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SSO + push MFA; phishing-resistant MFA where supported</w:t>
            </w:r>
          </w:p>
        </w:tc>
      </w:tr>
      <w:tr>
        <w:tc>
          <w:tcPr>
            <w:tcW w:type="dxa" w:w="3600"/>
            <w:tcBorders>
              <w:top w:val="single" w:sz="4" w:color="B7C0D6"/>
              <w:left w:val="single" w:sz="4" w:color="B7C0D6"/>
              <w:bottom w:val="single" w:sz="4" w:color="B7C0D6"/>
              <w:right w:val="single" w:sz="4" w:color="B7C0D6"/>
            </w:tcBorders>
            <w:vAlign w:val="center"/>
          </w:tcPr>
          <w:p>
            <w:r/>
            <w:r>
              <w:rPr>
                <w:rFonts w:ascii="Calibri" w:hAnsi="Calibri"/>
                <w:color w:val="1A223A"/>
                <w:sz w:val="19"/>
              </w:rPr>
              <w:t>Administrators (PA / TA / SA)</w:t>
            </w:r>
          </w:p>
        </w:tc>
        <w:tc>
          <w:tcPr>
            <w:tcW w:type="dxa" w:w="6048"/>
            <w:tcBorders>
              <w:top w:val="single" w:sz="4" w:color="B7C0D6"/>
              <w:left w:val="single" w:sz="4" w:color="B7C0D6"/>
              <w:bottom w:val="single" w:sz="4" w:color="B7C0D6"/>
              <w:right w:val="single" w:sz="4" w:color="B7C0D6"/>
            </w:tcBorders>
            <w:vAlign w:val="center"/>
          </w:tcPr>
          <w:p>
            <w:r/>
            <w:r>
              <w:rPr>
                <w:rFonts w:ascii="Calibri" w:hAnsi="Calibri"/>
                <w:color w:val="1A223A"/>
                <w:sz w:val="19"/>
              </w:rPr>
              <w:t>SSO + hardware security key (FIDO2) — mandatory</w:t>
            </w:r>
          </w:p>
        </w:tc>
      </w:tr>
      <w:tr>
        <w:tc>
          <w:tcPr>
            <w:tcW w:type="dxa" w:w="360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External clients</w:t>
            </w:r>
          </w:p>
        </w:tc>
        <w:tc>
          <w:tcPr>
            <w:tcW w:type="dxa" w:w="604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Username / password + TOTP MFA; optional federated SSO</w:t>
            </w:r>
          </w:p>
        </w:tc>
      </w:tr>
      <w:tr>
        <w:tc>
          <w:tcPr>
            <w:tcW w:type="dxa" w:w="3600"/>
            <w:tcBorders>
              <w:top w:val="single" w:sz="4" w:color="B7C0D6"/>
              <w:left w:val="single" w:sz="4" w:color="B7C0D6"/>
              <w:bottom w:val="single" w:sz="4" w:color="B7C0D6"/>
              <w:right w:val="single" w:sz="4" w:color="B7C0D6"/>
            </w:tcBorders>
            <w:vAlign w:val="center"/>
          </w:tcPr>
          <w:p>
            <w:r/>
            <w:r>
              <w:rPr>
                <w:rFonts w:ascii="Calibri" w:hAnsi="Calibri"/>
                <w:color w:val="1A223A"/>
                <w:sz w:val="19"/>
              </w:rPr>
              <w:t>Candidates</w:t>
            </w:r>
          </w:p>
        </w:tc>
        <w:tc>
          <w:tcPr>
            <w:tcW w:type="dxa" w:w="6048"/>
            <w:tcBorders>
              <w:top w:val="single" w:sz="4" w:color="B7C0D6"/>
              <w:left w:val="single" w:sz="4" w:color="B7C0D6"/>
              <w:bottom w:val="single" w:sz="4" w:color="B7C0D6"/>
              <w:right w:val="single" w:sz="4" w:color="B7C0D6"/>
            </w:tcBorders>
            <w:vAlign w:val="center"/>
          </w:tcPr>
          <w:p>
            <w:r/>
            <w:r>
              <w:rPr>
                <w:rFonts w:ascii="Calibri" w:hAnsi="Calibri"/>
                <w:color w:val="1A223A"/>
                <w:sz w:val="19"/>
              </w:rPr>
              <w:t>Username / password; email verification; optional social login</w:t>
            </w:r>
          </w:p>
        </w:tc>
      </w:tr>
      <w:tr>
        <w:tc>
          <w:tcPr>
            <w:tcW w:type="dxa" w:w="360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API consumers</w:t>
            </w:r>
          </w:p>
        </w:tc>
        <w:tc>
          <w:tcPr>
            <w:tcW w:type="dxa" w:w="6048"/>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OAuth 2.0 client credentials + mTLS for privileged endpoints; secrets rotated every 90 days</w:t>
            </w:r>
          </w:p>
        </w:tc>
      </w:tr>
    </w:tbl>
    <w:p>
      <w:pPr>
        <w:spacing w:before="240" w:after="80"/>
      </w:pPr>
      <w:r>
        <w:rPr>
          <w:rFonts w:ascii="Calibri" w:hAnsi="Calibri"/>
          <w:b/>
          <w:color w:val="1E2A5E"/>
          <w:sz w:val="26"/>
        </w:rPr>
        <w:t>9.2  Password standards</w:t>
      </w:r>
    </w:p>
    <w:p>
      <w:pPr>
        <w:pStyle w:val="ListBullet"/>
        <w:ind w:left="360"/>
      </w:pPr>
      <w:r>
        <w:t>Minimum length 12 characters; no maximum below 64.</w:t>
      </w:r>
    </w:p>
    <w:p>
      <w:pPr>
        <w:pStyle w:val="ListBullet"/>
        <w:ind w:left="360"/>
      </w:pPr>
      <w:r>
        <w:t>Screening against known-breach password lists on set and change.</w:t>
      </w:r>
    </w:p>
    <w:p>
      <w:pPr>
        <w:pStyle w:val="ListBullet"/>
        <w:ind w:left="360"/>
      </w:pPr>
      <w:r>
        <w:t>No forced rotation in absence of compromise (per NIST SP 800-63B).</w:t>
      </w:r>
    </w:p>
    <w:p>
      <w:pPr>
        <w:pStyle w:val="ListBullet"/>
        <w:ind w:left="360"/>
      </w:pPr>
      <w:r>
        <w:t>Passwords stored only as Argon2id hashes with per-user salt.</w:t>
      </w:r>
    </w:p>
    <w:p>
      <w:pPr>
        <w:spacing w:before="240" w:after="80"/>
      </w:pPr>
      <w:r>
        <w:rPr>
          <w:rFonts w:ascii="Calibri" w:hAnsi="Calibri"/>
          <w:b/>
          <w:color w:val="1E2A5E"/>
          <w:sz w:val="26"/>
        </w:rPr>
        <w:t>9.3  Session management</w:t>
      </w:r>
    </w:p>
    <w:p>
      <w:pPr>
        <w:pStyle w:val="ListBullet"/>
        <w:ind w:left="360"/>
      </w:pPr>
      <w:r>
        <w:t>Default web session lifetime: 8 hours of activity, 30 minutes idle timeout.</w:t>
      </w:r>
    </w:p>
    <w:p>
      <w:pPr>
        <w:pStyle w:val="ListBullet"/>
        <w:ind w:left="360"/>
      </w:pPr>
      <w:r>
        <w:t>Administrator session lifetime: 4 hours of activity, 10 minutes idle timeout.</w:t>
      </w:r>
    </w:p>
    <w:p>
      <w:pPr>
        <w:pStyle w:val="ListBullet"/>
        <w:ind w:left="360"/>
      </w:pPr>
      <w:r>
        <w:t>Mobile sessions: device-bound refresh tokens, revocable from the user's profile and from the Security console.</w:t>
      </w:r>
    </w:p>
    <w:p>
      <w:pPr>
        <w:pStyle w:val="ListBullet"/>
        <w:ind w:left="360"/>
      </w:pPr>
      <w:r>
        <w:t>Concurrent-session limits apply to privileged roles; all sessions recorded in the audit log.</w:t>
      </w:r>
    </w:p>
    <w:p>
      <w:pPr>
        <w:spacing w:before="360" w:after="120"/>
        <w:pBdr>
          <w:bottom w:val="single" w:sz="8" w:color="2F6BFF"/>
        </w:pBdr>
      </w:pPr>
      <w:r>
        <w:rPr>
          <w:rFonts w:ascii="Calibri" w:hAnsi="Calibri"/>
          <w:b/>
          <w:color w:val="0B1437"/>
          <w:sz w:val="36"/>
        </w:rPr>
        <w:t>10.  Segregation of Duties</w:t>
      </w:r>
    </w:p>
    <w:p>
      <w:r>
        <w:t>The following role combinations are prohibited inside Praxion HROS. They are enforced both preventively (the admin console refuses the assignment) and detectively (the monthly SoD report to the CISO). The authoritative list lives in the Access Matrix, tab "6. Segregation".</w:t>
      </w:r>
    </w:p>
    <w:tbl>
      <w:tblPr>
        <w:tblW w:type="auto" w:w="0"/>
        <w:jc w:val="center"/>
        <w:tblLayout w:type="fixed"/>
        <w:tblLook w:firstColumn="1" w:firstRow="1" w:lastColumn="0" w:lastRow="0" w:noHBand="0" w:noVBand="1" w:val="04A0"/>
      </w:tblPr>
      <w:tblGrid>
        <w:gridCol w:w="3249"/>
        <w:gridCol w:w="3249"/>
        <w:gridCol w:w="3249"/>
      </w:tblGrid>
      <w:tr>
        <w:tc>
          <w:tcPr>
            <w:tcW w:type="dxa" w:w="4032"/>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Prohibited combination</w:t>
            </w:r>
          </w:p>
        </w:tc>
        <w:tc>
          <w:tcPr>
            <w:tcW w:type="dxa" w:w="3456"/>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Risk</w:t>
            </w:r>
          </w:p>
        </w:tc>
        <w:tc>
          <w:tcPr>
            <w:tcW w:type="dxa" w:w="2160"/>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SoD owner</w:t>
            </w:r>
          </w:p>
        </w:tc>
      </w:tr>
      <w:tr>
        <w:tc>
          <w:tcPr>
            <w:tcW w:type="dxa" w:w="4032"/>
            <w:tcBorders>
              <w:top w:val="single" w:sz="4" w:color="B7C0D6"/>
              <w:left w:val="single" w:sz="4" w:color="B7C0D6"/>
              <w:bottom w:val="single" w:sz="4" w:color="B7C0D6"/>
              <w:right w:val="single" w:sz="4" w:color="B7C0D6"/>
            </w:tcBorders>
            <w:vAlign w:val="center"/>
          </w:tcPr>
          <w:p>
            <w:r/>
            <w:r>
              <w:rPr>
                <w:rFonts w:ascii="Calibri" w:hAnsi="Calibri"/>
                <w:color w:val="1A223A"/>
                <w:sz w:val="19"/>
              </w:rPr>
              <w:t>Payroll Officer + Finance Manager</w:t>
            </w:r>
          </w:p>
        </w:tc>
        <w:tc>
          <w:tcPr>
            <w:tcW w:type="dxa" w:w="3456"/>
            <w:tcBorders>
              <w:top w:val="single" w:sz="4" w:color="B7C0D6"/>
              <w:left w:val="single" w:sz="4" w:color="B7C0D6"/>
              <w:bottom w:val="single" w:sz="4" w:color="B7C0D6"/>
              <w:right w:val="single" w:sz="4" w:color="B7C0D6"/>
            </w:tcBorders>
            <w:vAlign w:val="center"/>
          </w:tcPr>
          <w:p>
            <w:r/>
            <w:r>
              <w:rPr>
                <w:rFonts w:ascii="Calibri" w:hAnsi="Calibri"/>
                <w:color w:val="1A223A"/>
                <w:sz w:val="19"/>
              </w:rPr>
              <w:t>Run and approve payroll</w:t>
            </w:r>
          </w:p>
        </w:tc>
        <w:tc>
          <w:tcPr>
            <w:tcW w:type="dxa" w:w="2160"/>
            <w:tcBorders>
              <w:top w:val="single" w:sz="4" w:color="B7C0D6"/>
              <w:left w:val="single" w:sz="4" w:color="B7C0D6"/>
              <w:bottom w:val="single" w:sz="4" w:color="B7C0D6"/>
              <w:right w:val="single" w:sz="4" w:color="B7C0D6"/>
            </w:tcBorders>
            <w:vAlign w:val="center"/>
          </w:tcPr>
          <w:p>
            <w:r/>
            <w:r>
              <w:rPr>
                <w:rFonts w:ascii="Calibri" w:hAnsi="Calibri"/>
                <w:color w:val="1A223A"/>
                <w:sz w:val="19"/>
              </w:rPr>
              <w:t>Finance Manager</w:t>
            </w:r>
          </w:p>
        </w:tc>
      </w:tr>
      <w:tr>
        <w:tc>
          <w:tcPr>
            <w:tcW w:type="dxa" w:w="403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HR Manager + Payroll Officer</w:t>
            </w:r>
          </w:p>
        </w:tc>
        <w:tc>
          <w:tcPr>
            <w:tcW w:type="dxa" w:w="345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Change comp and execute payroll</w:t>
            </w:r>
          </w:p>
        </w:tc>
        <w:tc>
          <w:tcPr>
            <w:tcW w:type="dxa" w:w="216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HR Director</w:t>
            </w:r>
          </w:p>
        </w:tc>
      </w:tr>
      <w:tr>
        <w:tc>
          <w:tcPr>
            <w:tcW w:type="dxa" w:w="4032"/>
            <w:tcBorders>
              <w:top w:val="single" w:sz="4" w:color="B7C0D6"/>
              <w:left w:val="single" w:sz="4" w:color="B7C0D6"/>
              <w:bottom w:val="single" w:sz="4" w:color="B7C0D6"/>
              <w:right w:val="single" w:sz="4" w:color="B7C0D6"/>
            </w:tcBorders>
            <w:vAlign w:val="center"/>
          </w:tcPr>
          <w:p>
            <w:r/>
            <w:r>
              <w:rPr>
                <w:rFonts w:ascii="Calibri" w:hAnsi="Calibri"/>
                <w:color w:val="1A223A"/>
                <w:sz w:val="19"/>
              </w:rPr>
              <w:t>Recruiter + Hiring Manager (same req)</w:t>
            </w:r>
          </w:p>
        </w:tc>
        <w:tc>
          <w:tcPr>
            <w:tcW w:type="dxa" w:w="3456"/>
            <w:tcBorders>
              <w:top w:val="single" w:sz="4" w:color="B7C0D6"/>
              <w:left w:val="single" w:sz="4" w:color="B7C0D6"/>
              <w:bottom w:val="single" w:sz="4" w:color="B7C0D6"/>
              <w:right w:val="single" w:sz="4" w:color="B7C0D6"/>
            </w:tcBorders>
            <w:vAlign w:val="center"/>
          </w:tcPr>
          <w:p>
            <w:r/>
            <w:r>
              <w:rPr>
                <w:rFonts w:ascii="Calibri" w:hAnsi="Calibri"/>
                <w:color w:val="1A223A"/>
                <w:sz w:val="19"/>
              </w:rPr>
              <w:t>Source and make the hire</w:t>
            </w:r>
          </w:p>
        </w:tc>
        <w:tc>
          <w:tcPr>
            <w:tcW w:type="dxa" w:w="2160"/>
            <w:tcBorders>
              <w:top w:val="single" w:sz="4" w:color="B7C0D6"/>
              <w:left w:val="single" w:sz="4" w:color="B7C0D6"/>
              <w:bottom w:val="single" w:sz="4" w:color="B7C0D6"/>
              <w:right w:val="single" w:sz="4" w:color="B7C0D6"/>
            </w:tcBorders>
            <w:vAlign w:val="center"/>
          </w:tcPr>
          <w:p>
            <w:r/>
            <w:r>
              <w:rPr>
                <w:rFonts w:ascii="Calibri" w:hAnsi="Calibri"/>
                <w:color w:val="1A223A"/>
                <w:sz w:val="19"/>
              </w:rPr>
              <w:t>Head of Recruitment</w:t>
            </w:r>
          </w:p>
        </w:tc>
      </w:tr>
      <w:tr>
        <w:tc>
          <w:tcPr>
            <w:tcW w:type="dxa" w:w="403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System Admin + Auditor</w:t>
            </w:r>
          </w:p>
        </w:tc>
        <w:tc>
          <w:tcPr>
            <w:tcW w:type="dxa" w:w="345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Configure and audit the same system</w:t>
            </w:r>
          </w:p>
        </w:tc>
        <w:tc>
          <w:tcPr>
            <w:tcW w:type="dxa" w:w="216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CISO</w:t>
            </w:r>
          </w:p>
        </w:tc>
      </w:tr>
      <w:tr>
        <w:tc>
          <w:tcPr>
            <w:tcW w:type="dxa" w:w="4032"/>
            <w:tcBorders>
              <w:top w:val="single" w:sz="4" w:color="B7C0D6"/>
              <w:left w:val="single" w:sz="4" w:color="B7C0D6"/>
              <w:bottom w:val="single" w:sz="4" w:color="B7C0D6"/>
              <w:right w:val="single" w:sz="4" w:color="B7C0D6"/>
            </w:tcBorders>
            <w:vAlign w:val="center"/>
          </w:tcPr>
          <w:p>
            <w:r/>
            <w:r>
              <w:rPr>
                <w:rFonts w:ascii="Calibri" w:hAnsi="Calibri"/>
                <w:color w:val="1A223A"/>
                <w:sz w:val="19"/>
              </w:rPr>
              <w:t>Tenant Admin + Employee (same person)</w:t>
            </w:r>
          </w:p>
        </w:tc>
        <w:tc>
          <w:tcPr>
            <w:tcW w:type="dxa" w:w="3456"/>
            <w:tcBorders>
              <w:top w:val="single" w:sz="4" w:color="B7C0D6"/>
              <w:left w:val="single" w:sz="4" w:color="B7C0D6"/>
              <w:bottom w:val="single" w:sz="4" w:color="B7C0D6"/>
              <w:right w:val="single" w:sz="4" w:color="B7C0D6"/>
            </w:tcBorders>
            <w:vAlign w:val="center"/>
          </w:tcPr>
          <w:p>
            <w:r/>
            <w:r>
              <w:rPr>
                <w:rFonts w:ascii="Calibri" w:hAnsi="Calibri"/>
                <w:color w:val="1A223A"/>
                <w:sz w:val="19"/>
              </w:rPr>
              <w:t>Modify own record with admin rights</w:t>
            </w:r>
          </w:p>
        </w:tc>
        <w:tc>
          <w:tcPr>
            <w:tcW w:type="dxa" w:w="2160"/>
            <w:tcBorders>
              <w:top w:val="single" w:sz="4" w:color="B7C0D6"/>
              <w:left w:val="single" w:sz="4" w:color="B7C0D6"/>
              <w:bottom w:val="single" w:sz="4" w:color="B7C0D6"/>
              <w:right w:val="single" w:sz="4" w:color="B7C0D6"/>
            </w:tcBorders>
            <w:vAlign w:val="center"/>
          </w:tcPr>
          <w:p>
            <w:r/>
            <w:r>
              <w:rPr>
                <w:rFonts w:ascii="Calibri" w:hAnsi="Calibri"/>
                <w:color w:val="1A223A"/>
                <w:sz w:val="19"/>
              </w:rPr>
              <w:t>CISO</w:t>
            </w:r>
          </w:p>
        </w:tc>
      </w:tr>
      <w:tr>
        <w:tc>
          <w:tcPr>
            <w:tcW w:type="dxa" w:w="403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Finance Manager + Billing Officer</w:t>
            </w:r>
          </w:p>
        </w:tc>
        <w:tc>
          <w:tcPr>
            <w:tcW w:type="dxa" w:w="345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Generate and approve client invoices</w:t>
            </w:r>
          </w:p>
        </w:tc>
        <w:tc>
          <w:tcPr>
            <w:tcW w:type="dxa" w:w="216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CFO</w:t>
            </w:r>
          </w:p>
        </w:tc>
      </w:tr>
      <w:tr>
        <w:tc>
          <w:tcPr>
            <w:tcW w:type="dxa" w:w="4032"/>
            <w:tcBorders>
              <w:top w:val="single" w:sz="4" w:color="B7C0D6"/>
              <w:left w:val="single" w:sz="4" w:color="B7C0D6"/>
              <w:bottom w:val="single" w:sz="4" w:color="B7C0D6"/>
              <w:right w:val="single" w:sz="4" w:color="B7C0D6"/>
            </w:tcBorders>
            <w:vAlign w:val="center"/>
          </w:tcPr>
          <w:p>
            <w:r/>
            <w:r>
              <w:rPr>
                <w:rFonts w:ascii="Calibri" w:hAnsi="Calibri"/>
                <w:color w:val="1A223A"/>
                <w:sz w:val="19"/>
              </w:rPr>
              <w:t>Platform Admin + any tenant operational role</w:t>
            </w:r>
          </w:p>
        </w:tc>
        <w:tc>
          <w:tcPr>
            <w:tcW w:type="dxa" w:w="3456"/>
            <w:tcBorders>
              <w:top w:val="single" w:sz="4" w:color="B7C0D6"/>
              <w:left w:val="single" w:sz="4" w:color="B7C0D6"/>
              <w:bottom w:val="single" w:sz="4" w:color="B7C0D6"/>
              <w:right w:val="single" w:sz="4" w:color="B7C0D6"/>
            </w:tcBorders>
            <w:vAlign w:val="center"/>
          </w:tcPr>
          <w:p>
            <w:r/>
            <w:r>
              <w:rPr>
                <w:rFonts w:ascii="Calibri" w:hAnsi="Calibri"/>
                <w:color w:val="1A223A"/>
                <w:sz w:val="19"/>
              </w:rPr>
              <w:t>Cross-tenant super-admin with tenant duties</w:t>
            </w:r>
          </w:p>
        </w:tc>
        <w:tc>
          <w:tcPr>
            <w:tcW w:type="dxa" w:w="2160"/>
            <w:tcBorders>
              <w:top w:val="single" w:sz="4" w:color="B7C0D6"/>
              <w:left w:val="single" w:sz="4" w:color="B7C0D6"/>
              <w:bottom w:val="single" w:sz="4" w:color="B7C0D6"/>
              <w:right w:val="single" w:sz="4" w:color="B7C0D6"/>
            </w:tcBorders>
            <w:vAlign w:val="center"/>
          </w:tcPr>
          <w:p>
            <w:r/>
            <w:r>
              <w:rPr>
                <w:rFonts w:ascii="Calibri" w:hAnsi="Calibri"/>
                <w:color w:val="1A223A"/>
                <w:sz w:val="19"/>
              </w:rPr>
              <w:t>CTO</w:t>
            </w:r>
          </w:p>
        </w:tc>
      </w:tr>
      <w:tr>
        <w:tc>
          <w:tcPr>
            <w:tcW w:type="dxa" w:w="4032"/>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Contractor + any internal approver role</w:t>
            </w:r>
          </w:p>
        </w:tc>
        <w:tc>
          <w:tcPr>
            <w:tcW w:type="dxa" w:w="3456"/>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External identity with approval authority</w:t>
            </w:r>
          </w:p>
        </w:tc>
        <w:tc>
          <w:tcPr>
            <w:tcW w:type="dxa" w:w="2160"/>
            <w:shd w:val="clear" w:color="auto" w:fill="F5F7FA"/>
            <w:tcBorders>
              <w:top w:val="single" w:sz="4" w:color="B7C0D6"/>
              <w:left w:val="single" w:sz="4" w:color="B7C0D6"/>
              <w:bottom w:val="single" w:sz="4" w:color="B7C0D6"/>
              <w:right w:val="single" w:sz="4" w:color="B7C0D6"/>
            </w:tcBorders>
            <w:vAlign w:val="center"/>
          </w:tcPr>
          <w:p>
            <w:r/>
            <w:r>
              <w:rPr>
                <w:rFonts w:ascii="Calibri" w:hAnsi="Calibri"/>
                <w:color w:val="1A223A"/>
                <w:sz w:val="19"/>
              </w:rPr>
              <w:t>CISO</w:t>
            </w:r>
          </w:p>
        </w:tc>
      </w:tr>
    </w:tbl>
    <w:p>
      <w:pPr>
        <w:spacing w:before="360" w:after="120"/>
        <w:pBdr>
          <w:bottom w:val="single" w:sz="8" w:color="2F6BFF"/>
        </w:pBdr>
      </w:pPr>
      <w:r>
        <w:rPr>
          <w:rFonts w:ascii="Calibri" w:hAnsi="Calibri"/>
          <w:b/>
          <w:color w:val="0B1437"/>
          <w:sz w:val="36"/>
        </w:rPr>
        <w:t>11.  Exceptions</w:t>
      </w:r>
    </w:p>
    <w:p>
      <w:r>
        <w:t>Deviations from this policy are permitted only through a formal exception request that:</w:t>
      </w:r>
    </w:p>
    <w:p>
      <w:pPr>
        <w:pStyle w:val="ListBullet"/>
        <w:ind w:left="360"/>
      </w:pPr>
      <w:r>
        <w:t>Describes the specific principle or rule being waived and the business reason.</w:t>
      </w:r>
    </w:p>
    <w:p>
      <w:pPr>
        <w:pStyle w:val="ListBullet"/>
        <w:ind w:left="360"/>
      </w:pPr>
      <w:r>
        <w:t>Identifies the compensating controls that mitigate the resulting risk.</w:t>
      </w:r>
    </w:p>
    <w:p>
      <w:pPr>
        <w:pStyle w:val="ListBullet"/>
        <w:ind w:left="360"/>
      </w:pPr>
      <w:r>
        <w:t>Names an owner accountable for removing the exception.</w:t>
      </w:r>
    </w:p>
    <w:p>
      <w:pPr>
        <w:pStyle w:val="ListBullet"/>
        <w:ind w:left="360"/>
      </w:pPr>
      <w:r>
        <w:t>Is bounded in time — maximum 90 days, renewable only with CISO approval.</w:t>
      </w:r>
    </w:p>
    <w:p>
      <w:r>
        <w:t>All exceptions are logged in the Security Risk Register, reviewed monthly by the CISO and reported quarterly to the Risk Committee.</w:t>
      </w:r>
    </w:p>
    <w:p>
      <w:pPr>
        <w:spacing w:before="360" w:after="120"/>
        <w:pBdr>
          <w:bottom w:val="single" w:sz="8" w:color="2F6BFF"/>
        </w:pBdr>
      </w:pPr>
      <w:r>
        <w:rPr>
          <w:rFonts w:ascii="Calibri" w:hAnsi="Calibri"/>
          <w:b/>
          <w:color w:val="0B1437"/>
          <w:sz w:val="36"/>
        </w:rPr>
        <w:t>12.  Monitoring, Logging &amp; Audit</w:t>
      </w:r>
    </w:p>
    <w:p>
      <w:pPr>
        <w:spacing w:before="240" w:after="80"/>
      </w:pPr>
      <w:r>
        <w:rPr>
          <w:rFonts w:ascii="Calibri" w:hAnsi="Calibri"/>
          <w:b/>
          <w:color w:val="1E2A5E"/>
          <w:sz w:val="26"/>
        </w:rPr>
        <w:t>12.1  What is logged</w:t>
      </w:r>
    </w:p>
    <w:p>
      <w:pPr>
        <w:pStyle w:val="ListBullet"/>
        <w:ind w:left="360"/>
      </w:pPr>
      <w:r>
        <w:t>All authentication attempts (success and failure), including MFA challenges and outcomes.</w:t>
      </w:r>
    </w:p>
    <w:p>
      <w:pPr>
        <w:pStyle w:val="ListBullet"/>
        <w:ind w:left="360"/>
      </w:pPr>
      <w:r>
        <w:t>All authorisation decisions for write and approve actions.</w:t>
      </w:r>
    </w:p>
    <w:p>
      <w:pPr>
        <w:pStyle w:val="ListBullet"/>
        <w:ind w:left="360"/>
      </w:pPr>
      <w:r>
        <w:t>All changes to users, roles, role assignments and SoD rules.</w:t>
      </w:r>
    </w:p>
    <w:p>
      <w:pPr>
        <w:pStyle w:val="ListBullet"/>
        <w:ind w:left="360"/>
      </w:pPr>
      <w:r>
        <w:t>All privileged-session activity (command-level where possible).</w:t>
      </w:r>
    </w:p>
    <w:p>
      <w:pPr>
        <w:pStyle w:val="ListBullet"/>
        <w:ind w:left="360"/>
      </w:pPr>
      <w:r>
        <w:t>All data export operations on personal, payroll or client data.</w:t>
      </w:r>
    </w:p>
    <w:p>
      <w:pPr>
        <w:spacing w:before="240" w:after="80"/>
      </w:pPr>
      <w:r>
        <w:rPr>
          <w:rFonts w:ascii="Calibri" w:hAnsi="Calibri"/>
          <w:b/>
          <w:color w:val="1E2A5E"/>
          <w:sz w:val="26"/>
        </w:rPr>
        <w:t>12.2  Log integrity</w:t>
      </w:r>
    </w:p>
    <w:p>
      <w:r>
        <w:t>Audit logs are written append-only to a segregated log store. Access to the log store is restricted to Security Engineering and the Auditor role. Integrity is protected by cryptographic chaining and independent off-site replication.</w:t>
      </w:r>
    </w:p>
    <w:p>
      <w:pPr>
        <w:spacing w:before="240" w:after="80"/>
      </w:pPr>
      <w:r>
        <w:rPr>
          <w:rFonts w:ascii="Calibri" w:hAnsi="Calibri"/>
          <w:b/>
          <w:color w:val="1E2A5E"/>
          <w:sz w:val="26"/>
        </w:rPr>
        <w:t>12.3  Monitoring &amp; detection</w:t>
      </w:r>
    </w:p>
    <w:p>
      <w:pPr>
        <w:pStyle w:val="ListBullet"/>
        <w:ind w:left="360"/>
      </w:pPr>
      <w:r>
        <w:t>Real-time alerts on: administrative role assignments, failed MFA bursts, impossible-travel logins, break-glass use, mass exports of personal data.</w:t>
      </w:r>
    </w:p>
    <w:p>
      <w:pPr>
        <w:pStyle w:val="ListBullet"/>
        <w:ind w:left="360"/>
      </w:pPr>
      <w:r>
        <w:t>Weekly anomaly reports on user behaviour reviewed by Security Operations.</w:t>
      </w:r>
    </w:p>
    <w:p>
      <w:pPr>
        <w:pStyle w:val="ListBullet"/>
        <w:ind w:left="360"/>
      </w:pPr>
      <w:r>
        <w:t>Monthly SoD conflict scan; any violation found is treated as a P2 incident.</w:t>
      </w:r>
    </w:p>
    <w:p>
      <w:pPr>
        <w:spacing w:before="240" w:after="80"/>
      </w:pPr>
      <w:r>
        <w:rPr>
          <w:rFonts w:ascii="Calibri" w:hAnsi="Calibri"/>
          <w:b/>
          <w:color w:val="1E2A5E"/>
          <w:sz w:val="26"/>
        </w:rPr>
        <w:t>12.4  Audit support</w:t>
      </w:r>
    </w:p>
    <w:p>
      <w:r>
        <w:t>This policy and the Access Matrix are made available to internal and external auditors on request. Security Operations produces the standard evidence pack (user listings, review sign-offs, exception register, log samples) within 5 business days of a formal request.</w:t>
      </w:r>
    </w:p>
    <w:p>
      <w:pPr>
        <w:spacing w:before="360" w:after="120"/>
        <w:pBdr>
          <w:bottom w:val="single" w:sz="8" w:color="2F6BFF"/>
        </w:pBdr>
      </w:pPr>
      <w:r>
        <w:rPr>
          <w:rFonts w:ascii="Calibri" w:hAnsi="Calibri"/>
          <w:b/>
          <w:color w:val="0B1437"/>
          <w:sz w:val="36"/>
        </w:rPr>
        <w:t>13.  Non-Compliance</w:t>
      </w:r>
    </w:p>
    <w:p>
      <w:r>
        <w:t>Failure to comply with this policy may result in disciplinary action up to and including termination of employment or contract, revocation of access, and — where applicable — civil or criminal action. Suspected violations must be reported to security@praxionhr.com without delay.</w:t>
      </w:r>
    </w:p>
    <w:p>
      <w:pPr>
        <w:spacing w:before="360" w:after="120"/>
        <w:pBdr>
          <w:bottom w:val="single" w:sz="8" w:color="2F6BFF"/>
        </w:pBdr>
      </w:pPr>
      <w:r>
        <w:rPr>
          <w:rFonts w:ascii="Calibri" w:hAnsi="Calibri"/>
          <w:b/>
          <w:color w:val="0B1437"/>
          <w:sz w:val="36"/>
        </w:rPr>
        <w:t>14.  Review &amp; Version History</w:t>
      </w:r>
    </w:p>
    <w:p>
      <w:r>
        <w:t>This policy is reviewed at least annually by the CISO, and whenever:</w:t>
      </w:r>
    </w:p>
    <w:p>
      <w:pPr>
        <w:pStyle w:val="ListBullet"/>
        <w:ind w:left="360"/>
      </w:pPr>
      <w:r>
        <w:t>A new module, user type or significant capability is added to Praxion HROS.</w:t>
      </w:r>
    </w:p>
    <w:p>
      <w:pPr>
        <w:pStyle w:val="ListBullet"/>
        <w:ind w:left="360"/>
      </w:pPr>
      <w:r>
        <w:t>A material regulatory change affects HR, payroll or personal-data handling.</w:t>
      </w:r>
    </w:p>
    <w:p>
      <w:pPr>
        <w:pStyle w:val="ListBullet"/>
        <w:ind w:left="360"/>
      </w:pPr>
      <w:r>
        <w:t>An incident or audit finding reveals a control gap.</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152"/>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Version</w:t>
            </w:r>
          </w:p>
        </w:tc>
        <w:tc>
          <w:tcPr>
            <w:tcW w:type="dxa" w:w="1872"/>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Date</w:t>
            </w:r>
          </w:p>
        </w:tc>
        <w:tc>
          <w:tcPr>
            <w:tcW w:type="dxa" w:w="2448"/>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Author</w:t>
            </w:r>
          </w:p>
        </w:tc>
        <w:tc>
          <w:tcPr>
            <w:tcW w:type="dxa" w:w="4176"/>
            <w:shd w:val="clear" w:color="auto" w:fill="0B1437"/>
            <w:tcBorders>
              <w:top w:val="single" w:sz="4" w:color="0B1437"/>
              <w:left w:val="single" w:sz="4" w:color="0B1437"/>
              <w:bottom w:val="single" w:sz="4" w:color="0B1437"/>
              <w:right w:val="single" w:sz="4" w:color="0B1437"/>
            </w:tcBorders>
            <w:vAlign w:val="center"/>
          </w:tcPr>
          <w:p>
            <w:r/>
            <w:r>
              <w:rPr>
                <w:rFonts w:ascii="Calibri" w:hAnsi="Calibri"/>
                <w:b/>
                <w:color w:val="FFFFFF"/>
                <w:sz w:val="19"/>
              </w:rPr>
              <w:t>Summary of changes</w:t>
            </w:r>
          </w:p>
        </w:tc>
      </w:tr>
      <w:tr>
        <w:tc>
          <w:tcPr>
            <w:tcW w:type="dxa" w:w="1152"/>
            <w:tcBorders>
              <w:top w:val="single" w:sz="4" w:color="B7C0D6"/>
              <w:left w:val="single" w:sz="4" w:color="B7C0D6"/>
              <w:bottom w:val="single" w:sz="4" w:color="B7C0D6"/>
              <w:right w:val="single" w:sz="4" w:color="B7C0D6"/>
            </w:tcBorders>
            <w:vAlign w:val="center"/>
          </w:tcPr>
          <w:p>
            <w:r/>
            <w:r>
              <w:rPr>
                <w:rFonts w:ascii="Calibri" w:hAnsi="Calibri"/>
                <w:color w:val="1A223A"/>
                <w:sz w:val="19"/>
              </w:rPr>
              <w:t>1.0</w:t>
            </w:r>
          </w:p>
        </w:tc>
        <w:tc>
          <w:tcPr>
            <w:tcW w:type="dxa" w:w="1872"/>
            <w:tcBorders>
              <w:top w:val="single" w:sz="4" w:color="B7C0D6"/>
              <w:left w:val="single" w:sz="4" w:color="B7C0D6"/>
              <w:bottom w:val="single" w:sz="4" w:color="B7C0D6"/>
              <w:right w:val="single" w:sz="4" w:color="B7C0D6"/>
            </w:tcBorders>
            <w:vAlign w:val="center"/>
          </w:tcPr>
          <w:p>
            <w:r/>
            <w:r>
              <w:rPr>
                <w:rFonts w:ascii="Calibri" w:hAnsi="Calibri"/>
                <w:color w:val="1A223A"/>
                <w:sz w:val="19"/>
              </w:rPr>
              <w:t>10 Apr 2026</w:t>
            </w:r>
          </w:p>
        </w:tc>
        <w:tc>
          <w:tcPr>
            <w:tcW w:type="dxa" w:w="2448"/>
            <w:tcBorders>
              <w:top w:val="single" w:sz="4" w:color="B7C0D6"/>
              <w:left w:val="single" w:sz="4" w:color="B7C0D6"/>
              <w:bottom w:val="single" w:sz="4" w:color="B7C0D6"/>
              <w:right w:val="single" w:sz="4" w:color="B7C0D6"/>
            </w:tcBorders>
            <w:vAlign w:val="center"/>
          </w:tcPr>
          <w:p>
            <w:r/>
            <w:r>
              <w:rPr>
                <w:rFonts w:ascii="Calibri" w:hAnsi="Calibri"/>
                <w:color w:val="1A223A"/>
                <w:sz w:val="19"/>
              </w:rPr>
              <w:t>Sabry / CISO</w:t>
            </w:r>
          </w:p>
        </w:tc>
        <w:tc>
          <w:tcPr>
            <w:tcW w:type="dxa" w:w="4176"/>
            <w:tcBorders>
              <w:top w:val="single" w:sz="4" w:color="B7C0D6"/>
              <w:left w:val="single" w:sz="4" w:color="B7C0D6"/>
              <w:bottom w:val="single" w:sz="4" w:color="B7C0D6"/>
              <w:right w:val="single" w:sz="4" w:color="B7C0D6"/>
            </w:tcBorders>
            <w:vAlign w:val="center"/>
          </w:tcPr>
          <w:p>
            <w:r/>
            <w:r>
              <w:rPr>
                <w:rFonts w:ascii="Calibri" w:hAnsi="Calibri"/>
                <w:color w:val="1A223A"/>
                <w:sz w:val="19"/>
              </w:rPr>
              <w:t>Initial version — aligned to Access Matrix v1.0 and Architecture v1.0</w:t>
            </w:r>
          </w:p>
        </w:tc>
      </w:tr>
    </w:tbl>
    <w:p>
      <w:pPr>
        <w:spacing w:before="360" w:after="120"/>
        <w:pBdr>
          <w:bottom w:val="single" w:sz="8" w:color="2F6BFF"/>
        </w:pBdr>
      </w:pPr>
      <w:r>
        <w:rPr>
          <w:rFonts w:ascii="Calibri" w:hAnsi="Calibri"/>
          <w:b/>
          <w:color w:val="0B1437"/>
          <w:sz w:val="36"/>
        </w:rPr>
        <w:t>15.  Related Documents</w:t>
      </w:r>
    </w:p>
    <w:p>
      <w:pPr>
        <w:pStyle w:val="ListBullet"/>
        <w:ind w:left="360"/>
      </w:pPr>
      <w:r>
        <w:t>PRX-SEC-MTX-001 — Praxion User Access Matrix (companion workbook).</w:t>
      </w:r>
    </w:p>
    <w:p>
      <w:pPr>
        <w:pStyle w:val="ListBullet"/>
        <w:ind w:left="360"/>
      </w:pPr>
      <w:r>
        <w:t>PRX-ARCH-001 — Praxion System Architecture.</w:t>
      </w:r>
    </w:p>
    <w:p>
      <w:pPr>
        <w:pStyle w:val="ListBullet"/>
        <w:ind w:left="360"/>
      </w:pPr>
      <w:r>
        <w:t>PRX-ROAD-001 — Praxion Implementation &amp; Product Roadmap.</w:t>
      </w:r>
    </w:p>
    <w:p>
      <w:pPr>
        <w:pStyle w:val="ListBullet"/>
        <w:ind w:left="360"/>
      </w:pPr>
      <w:r>
        <w:t>Egybell Information Security Policy (parent document).</w:t>
      </w:r>
    </w:p>
    <w:p>
      <w:pPr>
        <w:pStyle w:val="ListBullet"/>
        <w:ind w:left="360"/>
      </w:pPr>
      <w:r>
        <w:t>Egybell Acceptable Use Policy.</w:t>
      </w:r>
    </w:p>
    <w:p>
      <w:pPr>
        <w:pStyle w:val="ListBullet"/>
        <w:ind w:left="360"/>
      </w:pPr>
      <w:r>
        <w:t>Egybell Incident Response Plan.</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2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