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28"/>
          <w:szCs w:val="28"/>
        </w:rPr>
        <w:t xml:space="preserve">DevSecOps Risk Detective Challenge</w:t>
      </w:r>
    </w:p>
    <w:p>
      <w:pPr>
        <w:spacing w:after="100" w:before="200"/>
        <w:jc w:val="center"/>
      </w:pPr>
      <w:r>
        <w:rPr>
          <w:color w:val="1F3864"/>
          <w:sz w:val="24"/>
          <w:szCs w:val="24"/>
        </w:rPr>
        <w:t xml:space="preserve">Assessment Task 1 – Part 2: Scenario-Based Collaborative Analysis</w:t>
      </w:r>
    </w:p>
    <w:p>
      <w:pPr>
        <w:spacing w:after="600" w:before="100"/>
        <w:jc w:val="center"/>
      </w:pPr>
      <w:r>
        <w:rPr>
          <w:i/>
          <w:iCs/>
          <w:sz w:val="24"/>
          <w:szCs w:val="24"/>
        </w:rPr>
        <w:t xml:space="preserve">Case Study: ShopNow — E-Commerce Platform</w:t>
      </w:r>
    </w:p>
    <w:p>
      <w:pPr>
        <w:spacing w:after="60"/>
        <w:jc w:val="center"/>
      </w:pPr>
      <w:r>
        <w:rPr>
          <w:b/>
          <w:bCs/>
          <w:sz w:val="22"/>
          <w:szCs w:val="22"/>
        </w:rPr>
        <w:t xml:space="preserve">Consolidated Report</w:t>
      </w:r>
    </w:p>
    <w:p>
      <w:pPr>
        <w:spacing w:after="40"/>
        <w:jc w:val="center"/>
      </w:pPr>
      <w:r>
        <w:rPr>
          <w:sz w:val="20"/>
          <w:szCs w:val="20"/>
        </w:rPr>
        <w:t xml:space="preserve">Prepared by: Team E — DevSecOps Consulting Group</w:t>
      </w:r>
    </w:p>
    <w:p>
      <w:pPr>
        <w:spacing w:after="40"/>
        <w:jc w:val="center"/>
      </w:pPr>
      <w:r>
        <w:rPr>
          <w:sz w:val="20"/>
          <w:szCs w:val="20"/>
        </w:rPr>
        <w:t xml:space="preserve">Client: ShopNow Online Marketplace</w:t>
      </w:r>
    </w:p>
    <w:p>
      <w:pPr>
        <w:spacing w:after="400"/>
        <w:jc w:val="center"/>
      </w:pPr>
      <w:r>
        <w:rPr>
          <w:sz w:val="20"/>
          <w:szCs w:val="20"/>
        </w:rPr>
        <w:t xml:space="preserve">Date: 27 July 2026</w:t>
      </w:r>
    </w:p>
    <w:p>
      <w:r>
        <w:br w:type="page"/>
      </w:r>
    </w:p>
    <w:p>
      <w:pPr>
        <w:pStyle w:val="Heading1"/>
        <w:pBdr>
          <w:bottom w:val="single" w:color="1F3864" w:sz="6" w:space="4"/>
        </w:pBdr>
        <w:spacing w:after="160" w:before="360"/>
      </w:pPr>
      <w:r>
        <w:rPr>
          <w:b/>
          <w:bCs/>
          <w:color w:val="1F3864"/>
        </w:rPr>
        <w:t xml:space="preserve">Executive Summary</w:t>
      </w:r>
    </w:p>
    <w:p>
      <w:pPr>
        <w:spacing w:after="140" w:line="300"/>
      </w:pPr>
      <w:r>
        <w:t xml:space="preserve">ShopNow is a fast-growing e-commerce marketplace whose rapid, marketing-driven release cadence has outpaced its security practices. Developers deploy directly to production without peer review, secure coding standards are not enforced, and security testing occurs only reactively, after an incident has already occurred. Combined with multiple third-party payment integrations, this has produced an environment where customers now report fraudulent purchases and unexpected account activity — clear indicators of authentication, session-management and application-layer weaknesses.</w:t>
      </w:r>
    </w:p>
    <w:p>
      <w:pPr>
        <w:spacing w:after="140" w:line="300"/>
      </w:pPr>
      <w:r>
        <w:t xml:space="preserve">This report, prepared by Team E acting as an independent DevSecOps consulting firm, reviews ShopNow's current software development lifecycle (SDLC), identifies the threats and vulnerabilities most likely responsible for the reported incidents, and recommends OWASP-aligned DevSecOps practices to close the gaps. The report closes with an analysis of the financial, operational, legal/compliance and reputational impact of leaving these issues unresolved, and a concept map tracing each risk through to the business benefit of remediation.</w:t>
      </w:r>
    </w:p>
    <w:p>
      <w:pPr>
        <w:pStyle w:val="Heading1"/>
        <w:pBdr>
          <w:bottom w:val="single" w:color="1F3864" w:sz="6" w:space="4"/>
        </w:pBdr>
        <w:spacing w:after="160" w:before="360"/>
      </w:pPr>
      <w:r>
        <w:rPr>
          <w:b/>
          <w:bCs/>
          <w:color w:val="1F3864"/>
        </w:rPr>
        <w:t xml:space="preserve">1. Existing Process Review — Weaknesses in the Current SDLC</w:t>
      </w:r>
    </w:p>
    <w:p>
      <w:pPr>
        <w:spacing w:after="140" w:line="300"/>
      </w:pPr>
      <w:r>
        <w:t xml:space="preserve">Analysis of ShopNow's development lifecycle reveals the following process weaknesses. Each one independently increases the likelihood that a vulnerability will reach production, and together they explain the pattern of fraud and account-takeover complaints ShopNow is now experiencing.</w:t>
      </w:r>
    </w:p>
    <w:p>
      <w:pPr>
        <w:pStyle w:val="ListParagraph"/>
        <w:numPr>
          <w:ilvl w:val="0"/>
          <w:numId w:val="2"/>
        </w:numPr>
        <w:spacing w:after="130" w:line="290"/>
      </w:pPr>
      <w:r>
        <w:rPr>
          <w:b/>
          <w:bCs/>
        </w:rPr>
        <w:t xml:space="preserve">No peer code review. </w:t>
      </w:r>
      <w:r>
        <w:t xml:space="preserve">Developers push code straight to production with no second set of eyes, so logic flaws, hard-coded secrets and insecure code patterns (e.g. missing input validation) reach customers undetected.</w:t>
      </w:r>
    </w:p>
    <w:p>
      <w:pPr>
        <w:pStyle w:val="ListParagraph"/>
        <w:numPr>
          <w:ilvl w:val="0"/>
          <w:numId w:val="2"/>
        </w:numPr>
        <w:spacing w:after="130" w:line="290"/>
      </w:pPr>
      <w:r>
        <w:rPr>
          <w:b/>
          <w:bCs/>
        </w:rPr>
        <w:t xml:space="preserve">Direct-to-production deployment. </w:t>
      </w:r>
      <w:r>
        <w:t xml:space="preserve">There is no staging environment or release gate between a commit and a live customer-facing system, removing the last opportunity to catch defects before they are exploitable.</w:t>
      </w:r>
    </w:p>
    <w:p>
      <w:pPr>
        <w:pStyle w:val="ListParagraph"/>
        <w:numPr>
          <w:ilvl w:val="0"/>
          <w:numId w:val="2"/>
        </w:numPr>
        <w:spacing w:after="130" w:line="290"/>
      </w:pPr>
      <w:r>
        <w:rPr>
          <w:b/>
          <w:bCs/>
        </w:rPr>
        <w:t xml:space="preserve">No enforced secure coding standards. </w:t>
      </w:r>
      <w:r>
        <w:t xml:space="preserve">Without a common baseline (e.g. OWASP ASVS), each developer applies security inconsistently, so authentication and session-handling code is likely implemented differently — and insecurely — across services.</w:t>
      </w:r>
    </w:p>
    <w:p>
      <w:pPr>
        <w:pStyle w:val="ListParagraph"/>
        <w:numPr>
          <w:ilvl w:val="0"/>
          <w:numId w:val="2"/>
        </w:numPr>
        <w:spacing w:after="130" w:line="290"/>
      </w:pPr>
      <w:r>
        <w:rPr>
          <w:b/>
          <w:bCs/>
        </w:rPr>
        <w:t xml:space="preserve">Reactive, incident-driven security testing. </w:t>
      </w:r>
      <w:r>
        <w:t xml:space="preserve">Vulnerability assessments only happen after something has already gone wrong, meaning ShopNow is consistently discovering weaknesses after attackers have, rather than before.</w:t>
      </w:r>
    </w:p>
    <w:p>
      <w:pPr>
        <w:pStyle w:val="ListParagraph"/>
        <w:numPr>
          <w:ilvl w:val="0"/>
          <w:numId w:val="2"/>
        </w:numPr>
        <w:spacing w:after="130" w:line="290"/>
      </w:pPr>
      <w:r>
        <w:rPr>
          <w:b/>
          <w:bCs/>
        </w:rPr>
        <w:t xml:space="preserve">No automated security testing in the pipeline. </w:t>
      </w:r>
      <w:r>
        <w:t xml:space="preserve">There is no evidence of SAST, DAST or software composition analysis (SCA) running on every build, so known vulnerability classes (injection, outdated libraries) are not caught pre-release.</w:t>
      </w:r>
    </w:p>
    <w:p>
      <w:pPr>
        <w:pStyle w:val="ListParagraph"/>
        <w:numPr>
          <w:ilvl w:val="0"/>
          <w:numId w:val="2"/>
        </w:numPr>
        <w:spacing w:after="130" w:line="290"/>
      </w:pPr>
      <w:r>
        <w:rPr>
          <w:b/>
          <w:bCs/>
        </w:rPr>
        <w:t xml:space="preserve">Weak third-party/vendor risk management. </w:t>
      </w:r>
      <w:r>
        <w:t xml:space="preserve">Multiple payment vendors are integrated with no apparent security due-diligence, contractual security requirements, or monitoring of vendor-side changes (API keys, SDK updates).</w:t>
      </w:r>
    </w:p>
    <w:p>
      <w:pPr>
        <w:pStyle w:val="ListParagraph"/>
        <w:numPr>
          <w:ilvl w:val="0"/>
          <w:numId w:val="2"/>
        </w:numPr>
        <w:spacing w:after="130" w:line="290"/>
      </w:pPr>
      <w:r>
        <w:rPr>
          <w:b/>
          <w:bCs/>
        </w:rPr>
        <w:t xml:space="preserve">No formal change management or release approval. </w:t>
      </w:r>
      <w:r>
        <w:t xml:space="preserve">'Rapid feature delivery' implies releases are not tracked, approved or reversible in a controlled way, making root-cause analysis and rollback difficult after an incident.</w:t>
      </w:r>
    </w:p>
    <w:p>
      <w:pPr>
        <w:pStyle w:val="Heading1"/>
        <w:pBdr>
          <w:bottom w:val="single" w:color="1F3864" w:sz="6" w:space="4"/>
        </w:pBdr>
        <w:spacing w:after="160" w:before="360"/>
      </w:pPr>
      <w:r>
        <w:rPr>
          <w:b/>
          <w:bCs/>
          <w:color w:val="1F3864"/>
        </w:rPr>
        <w:t xml:space="preserve">2. Threat Identification</w:t>
      </w:r>
    </w:p>
    <w:p>
      <w:pPr>
        <w:spacing w:after="140" w:line="300"/>
      </w:pPr>
      <w:r>
        <w:t xml:space="preserve">Given ShopNow's architecture and process gaps, the following cyber threats are most likely to be active or already exploited:</w:t>
      </w:r>
    </w:p>
    <w:p>
      <w:pPr>
        <w:pStyle w:val="ListParagraph"/>
        <w:numPr>
          <w:ilvl w:val="0"/>
          <w:numId w:val="2"/>
        </w:numPr>
        <w:spacing w:after="130" w:line="290"/>
      </w:pPr>
      <w:r>
        <w:rPr>
          <w:b/>
          <w:bCs/>
        </w:rPr>
        <w:t xml:space="preserve">Credential stuffing &amp; brute-force attacks. </w:t>
      </w:r>
      <w:r>
        <w:t xml:space="preserve">Attackers replay breached username/password pairs (or brute-force weak ones) against the login endpoint. With no enforced multi-factor authentication (MFA) or rate limiting, automated tools can take over accounts at scale — directly explaining the reported 'unexpected account activity.'</w:t>
      </w:r>
    </w:p>
    <w:p>
      <w:pPr>
        <w:pStyle w:val="ListParagraph"/>
        <w:numPr>
          <w:ilvl w:val="0"/>
          <w:numId w:val="2"/>
        </w:numPr>
        <w:spacing w:after="130" w:line="290"/>
      </w:pPr>
      <w:r>
        <w:rPr>
          <w:b/>
          <w:bCs/>
        </w:rPr>
        <w:t xml:space="preserve">Session hijacking / session fixation. </w:t>
      </w:r>
      <w:r>
        <w:t xml:space="preserve">If session tokens are predictable, not regenerated on login, or transmitted/stored without secure cookie flags (Secure, HttpOnly, SameSite), an attacker can steal or fixate a session ID and impersonate a legitimate shopper to place fraudulent orders.</w:t>
      </w:r>
    </w:p>
    <w:p>
      <w:pPr>
        <w:pStyle w:val="ListParagraph"/>
        <w:numPr>
          <w:ilvl w:val="0"/>
          <w:numId w:val="2"/>
        </w:numPr>
        <w:spacing w:after="130" w:line="290"/>
      </w:pPr>
      <w:r>
        <w:rPr>
          <w:b/>
          <w:bCs/>
        </w:rPr>
        <w:t xml:space="preserve">Injection attacks (SQL Injection / Command Injection). </w:t>
      </w:r>
      <w:r>
        <w:t xml:space="preserve">Because secure coding standards are not enforced and code is not reviewed, unsanitised input in search, checkout or account-update forms could allow attackers to manipulate back-end queries and access or modify order and customer data.</w:t>
      </w:r>
    </w:p>
    <w:p>
      <w:pPr>
        <w:pStyle w:val="ListParagraph"/>
        <w:numPr>
          <w:ilvl w:val="0"/>
          <w:numId w:val="2"/>
        </w:numPr>
        <w:spacing w:after="130" w:line="290"/>
      </w:pPr>
      <w:r>
        <w:rPr>
          <w:b/>
          <w:bCs/>
        </w:rPr>
        <w:t xml:space="preserve">Cross-Site Scripting (XSS). </w:t>
      </w:r>
      <w:r>
        <w:t xml:space="preserve">Unvalidated/unescaped user input rendered back to other users (e.g. product reviews) could let attackers plant scripts that steal session cookies or redirect customers to fraudulent payment pages.</w:t>
      </w:r>
    </w:p>
    <w:p>
      <w:pPr>
        <w:pStyle w:val="ListParagraph"/>
        <w:numPr>
          <w:ilvl w:val="0"/>
          <w:numId w:val="2"/>
        </w:numPr>
        <w:spacing w:after="130" w:line="290"/>
      </w:pPr>
      <w:r>
        <w:rPr>
          <w:b/>
          <w:bCs/>
        </w:rPr>
        <w:t xml:space="preserve">Broken access control / Insecure Direct Object Reference (IDOR). </w:t>
      </w:r>
      <w:r>
        <w:t xml:space="preserve">If object references such as order IDs or account IDs are not properly authorised server-side, an attacker can simply change an ID in a request to view or modify another customer's order or account — consistent with the fraud complaints described.</w:t>
      </w:r>
    </w:p>
    <w:p>
      <w:pPr>
        <w:pStyle w:val="ListParagraph"/>
        <w:numPr>
          <w:ilvl w:val="0"/>
          <w:numId w:val="2"/>
        </w:numPr>
        <w:spacing w:after="130" w:line="290"/>
      </w:pPr>
      <w:r>
        <w:rPr>
          <w:b/>
          <w:bCs/>
        </w:rPr>
        <w:t xml:space="preserve">Payment data interception / third-party supply-chain compromise. </w:t>
      </w:r>
      <w:r>
        <w:t xml:space="preserve">Multiple, loosely-governed vendor integrations increase the attack surface: a compromised or poorly secured third-party payment SDK/API, or traffic not enforced over TLS, could allow interception or manipulation of payment data in transit.</w:t>
      </w:r>
    </w:p>
    <w:p>
      <w:pPr>
        <w:pStyle w:val="ListParagraph"/>
        <w:numPr>
          <w:ilvl w:val="0"/>
          <w:numId w:val="2"/>
        </w:numPr>
        <w:spacing w:after="130" w:line="290"/>
      </w:pPr>
      <w:r>
        <w:rPr>
          <w:b/>
          <w:bCs/>
        </w:rPr>
        <w:t xml:space="preserve">Insider or compromised-developer risk. </w:t>
      </w:r>
      <w:r>
        <w:t xml:space="preserve">Because there is no peer review and deployment goes straight to production, a single malicious or compromised developer account is enough to push unreviewed, unauthorised code changes live with no checkpoint to catch it.</w:t>
      </w:r>
    </w:p>
    <w:p>
      <w:pPr>
        <w:pStyle w:val="Heading1"/>
        <w:pBdr>
          <w:bottom w:val="single" w:color="1F3864" w:sz="6" w:space="4"/>
        </w:pBdr>
        <w:spacing w:after="160" w:before="360"/>
      </w:pPr>
      <w:r>
        <w:rPr>
          <w:b/>
          <w:bCs/>
          <w:color w:val="1F3864"/>
        </w:rPr>
        <w:t xml:space="preserve">3. Vulnerability Assessment</w:t>
      </w:r>
    </w:p>
    <w:p>
      <w:pPr>
        <w:spacing w:after="140" w:line="300"/>
      </w:pPr>
      <w:r>
        <w:t xml:space="preserve">The table below classifies the key technical vulnerabilities uncovered in ShopNow's environment as High, Medium or Low risk, based on likelihood of exploitation and business impact if exploited.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3600"/>
      </w:tblGrid>
      <w:tr>
        <w:trPr>
          <w:tblHeader/>
        </w:trPr>
        <w:tc>
          <w:tcPr>
            <w:tcW w:type="dxa" w:w="4300"/>
            <w:shd w:fill="1F3864" w:val="clear"/>
            <w:tcMar>
              <w:top w:type="dxa" w:w="100"/>
              <w:left w:type="dxa" w:w="120"/>
              <w:bottom w:type="dxa" w:w="100"/>
              <w:right w:type="dxa" w:w="120"/>
            </w:tcMar>
            <w:vAlign w:val="center"/>
          </w:tcPr>
          <w:p>
            <w:r>
              <w:rPr>
                <w:b/>
                <w:bCs/>
                <w:color w:val="FFFFFF"/>
                <w:sz w:val="20"/>
                <w:szCs w:val="20"/>
              </w:rPr>
              <w:t xml:space="preserve">Vulnerability</w:t>
            </w:r>
          </w:p>
        </w:tc>
        <w:tc>
          <w:tcPr>
            <w:tcW w:type="dxa" w:w="1400"/>
            <w:shd w:fill="1F3864" w:val="clear"/>
            <w:tcMar>
              <w:top w:type="dxa" w:w="100"/>
              <w:left w:type="dxa" w:w="120"/>
              <w:bottom w:type="dxa" w:w="100"/>
              <w:right w:type="dxa" w:w="120"/>
            </w:tcMar>
            <w:vAlign w:val="center"/>
          </w:tcPr>
          <w:p>
            <w:r>
              <w:rPr>
                <w:b/>
                <w:bCs/>
                <w:color w:val="FFFFFF"/>
                <w:sz w:val="20"/>
                <w:szCs w:val="20"/>
              </w:rPr>
              <w:t xml:space="preserve">Rating</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Justification</w:t>
            </w:r>
          </w:p>
        </w:tc>
      </w:tr>
      <w:tr>
        <w:tc>
          <w:tcPr>
            <w:tcW w:type="dxa" w:w="4300"/>
            <w:tcMar>
              <w:top w:type="dxa" w:w="100"/>
              <w:left w:type="dxa" w:w="120"/>
              <w:bottom w:type="dxa" w:w="100"/>
              <w:right w:type="dxa" w:w="120"/>
            </w:tcMar>
            <w:vAlign w:val="center"/>
          </w:tcPr>
          <w:p>
            <w:pPr>
              <w:spacing w:after="40"/>
            </w:pPr>
            <w:r>
              <w:rPr>
                <w:sz w:val="20"/>
                <w:szCs w:val="20"/>
              </w:rPr>
              <w:t xml:space="preserve">Absence of Multi-Factor Authentication (MFA)</w:t>
            </w:r>
          </w:p>
        </w:tc>
        <w:tc>
          <w:tcPr>
            <w:tcW w:type="dxa" w:w="1400"/>
            <w:shd w:fill="FBE2E2" w:val="clear"/>
            <w:tcMar>
              <w:top w:type="dxa" w:w="100"/>
              <w:left w:type="dxa" w:w="120"/>
              <w:bottom w:type="dxa" w:w="100"/>
              <w:right w:type="dxa" w:w="120"/>
            </w:tcMar>
            <w:vAlign w:val="center"/>
          </w:tcPr>
          <w:p>
            <w:pPr>
              <w:spacing w:after="40"/>
            </w:pPr>
            <w:r>
              <w:rPr>
                <w:b/>
                <w:bCs/>
                <w:color w:val="C00000"/>
                <w:sz w:val="20"/>
                <w:szCs w:val="20"/>
              </w:rPr>
              <w:t xml:space="preserve">High</w:t>
            </w:r>
          </w:p>
        </w:tc>
        <w:tc>
          <w:tcPr>
            <w:tcW w:type="dxa" w:w="3600"/>
            <w:tcMar>
              <w:top w:type="dxa" w:w="100"/>
              <w:left w:type="dxa" w:w="120"/>
              <w:bottom w:type="dxa" w:w="100"/>
              <w:right w:type="dxa" w:w="120"/>
            </w:tcMar>
            <w:vAlign w:val="center"/>
          </w:tcPr>
          <w:p>
            <w:pPr>
              <w:spacing w:after="40"/>
            </w:pPr>
            <w:r>
              <w:rPr>
                <w:sz w:val="20"/>
                <w:szCs w:val="20"/>
              </w:rPr>
              <w:t xml:space="preserve">Directly enables account takeover from stolen or guessed credentials with no second factor to stop it — matches the reported fraudulent purchases and unexpected account activity.</w:t>
            </w:r>
          </w:p>
        </w:tc>
      </w:tr>
      <w:tr>
        <w:tc>
          <w:tcPr>
            <w:tcW w:type="dxa" w:w="4300"/>
            <w:tcMar>
              <w:top w:type="dxa" w:w="100"/>
              <w:left w:type="dxa" w:w="120"/>
              <w:bottom w:type="dxa" w:w="100"/>
              <w:right w:type="dxa" w:w="120"/>
            </w:tcMar>
            <w:vAlign w:val="center"/>
          </w:tcPr>
          <w:p>
            <w:pPr>
              <w:spacing w:after="40"/>
            </w:pPr>
            <w:r>
              <w:rPr>
                <w:sz w:val="20"/>
                <w:szCs w:val="20"/>
              </w:rPr>
              <w:t xml:space="preserve">Weak / insecure session management</w:t>
            </w:r>
          </w:p>
        </w:tc>
        <w:tc>
          <w:tcPr>
            <w:tcW w:type="dxa" w:w="1400"/>
            <w:shd w:fill="FBE2E2" w:val="clear"/>
            <w:tcMar>
              <w:top w:type="dxa" w:w="100"/>
              <w:left w:type="dxa" w:w="120"/>
              <w:bottom w:type="dxa" w:w="100"/>
              <w:right w:type="dxa" w:w="120"/>
            </w:tcMar>
            <w:vAlign w:val="center"/>
          </w:tcPr>
          <w:p>
            <w:pPr>
              <w:spacing w:after="40"/>
            </w:pPr>
            <w:r>
              <w:rPr>
                <w:b/>
                <w:bCs/>
                <w:color w:val="C00000"/>
                <w:sz w:val="20"/>
                <w:szCs w:val="20"/>
              </w:rPr>
              <w:t xml:space="preserve">High</w:t>
            </w:r>
          </w:p>
        </w:tc>
        <w:tc>
          <w:tcPr>
            <w:tcW w:type="dxa" w:w="3600"/>
            <w:tcMar>
              <w:top w:type="dxa" w:w="100"/>
              <w:left w:type="dxa" w:w="120"/>
              <w:bottom w:type="dxa" w:w="100"/>
              <w:right w:type="dxa" w:w="120"/>
            </w:tcMar>
            <w:vAlign w:val="center"/>
          </w:tcPr>
          <w:p>
            <w:pPr>
              <w:spacing w:after="40"/>
            </w:pPr>
            <w:r>
              <w:rPr>
                <w:sz w:val="20"/>
                <w:szCs w:val="20"/>
              </w:rPr>
              <w:t xml:space="preserve">Predictable session IDs or missing secure cookie attributes allow session hijacking, giving an attacker full control of an authenticated shopping session without needing the password.</w:t>
            </w:r>
          </w:p>
        </w:tc>
      </w:tr>
      <w:tr>
        <w:tc>
          <w:tcPr>
            <w:tcW w:type="dxa" w:w="4300"/>
            <w:tcMar>
              <w:top w:type="dxa" w:w="100"/>
              <w:left w:type="dxa" w:w="120"/>
              <w:bottom w:type="dxa" w:w="100"/>
              <w:right w:type="dxa" w:w="120"/>
            </w:tcMar>
            <w:vAlign w:val="center"/>
          </w:tcPr>
          <w:p>
            <w:pPr>
              <w:spacing w:after="40"/>
            </w:pPr>
            <w:r>
              <w:rPr>
                <w:sz w:val="20"/>
                <w:szCs w:val="20"/>
              </w:rPr>
              <w:t xml:space="preserve">Lack of input validation (SQLi / XSS exposure)</w:t>
            </w:r>
          </w:p>
        </w:tc>
        <w:tc>
          <w:tcPr>
            <w:tcW w:type="dxa" w:w="1400"/>
            <w:shd w:fill="FBE2E2" w:val="clear"/>
            <w:tcMar>
              <w:top w:type="dxa" w:w="100"/>
              <w:left w:type="dxa" w:w="120"/>
              <w:bottom w:type="dxa" w:w="100"/>
              <w:right w:type="dxa" w:w="120"/>
            </w:tcMar>
            <w:vAlign w:val="center"/>
          </w:tcPr>
          <w:p>
            <w:pPr>
              <w:spacing w:after="40"/>
            </w:pPr>
            <w:r>
              <w:rPr>
                <w:b/>
                <w:bCs/>
                <w:color w:val="C00000"/>
                <w:sz w:val="20"/>
                <w:szCs w:val="20"/>
              </w:rPr>
              <w:t xml:space="preserve">High</w:t>
            </w:r>
          </w:p>
        </w:tc>
        <w:tc>
          <w:tcPr>
            <w:tcW w:type="dxa" w:w="3600"/>
            <w:tcMar>
              <w:top w:type="dxa" w:w="100"/>
              <w:left w:type="dxa" w:w="120"/>
              <w:bottom w:type="dxa" w:w="100"/>
              <w:right w:type="dxa" w:w="120"/>
            </w:tcMar>
            <w:vAlign w:val="center"/>
          </w:tcPr>
          <w:p>
            <w:pPr>
              <w:spacing w:after="40"/>
            </w:pPr>
            <w:r>
              <w:rPr>
                <w:sz w:val="20"/>
                <w:szCs w:val="20"/>
              </w:rPr>
              <w:t xml:space="preserve">Unenforced secure coding standards plus no code review make injection flaws likely; successful exploitation can expose the entire customer and order database (OWASP Top 10 A03: Injection).</w:t>
            </w:r>
          </w:p>
        </w:tc>
      </w:tr>
      <w:tr>
        <w:tc>
          <w:tcPr>
            <w:tcW w:type="dxa" w:w="4300"/>
            <w:tcMar>
              <w:top w:type="dxa" w:w="100"/>
              <w:left w:type="dxa" w:w="120"/>
              <w:bottom w:type="dxa" w:w="100"/>
              <w:right w:type="dxa" w:w="120"/>
            </w:tcMar>
            <w:vAlign w:val="center"/>
          </w:tcPr>
          <w:p>
            <w:pPr>
              <w:spacing w:after="40"/>
            </w:pPr>
            <w:r>
              <w:rPr>
                <w:sz w:val="20"/>
                <w:szCs w:val="20"/>
              </w:rPr>
              <w:t xml:space="preserve">Insecure third-party payment integrations</w:t>
            </w:r>
          </w:p>
        </w:tc>
        <w:tc>
          <w:tcPr>
            <w:tcW w:type="dxa" w:w="1400"/>
            <w:shd w:fill="FBE2E2" w:val="clear"/>
            <w:tcMar>
              <w:top w:type="dxa" w:w="100"/>
              <w:left w:type="dxa" w:w="120"/>
              <w:bottom w:type="dxa" w:w="100"/>
              <w:right w:type="dxa" w:w="120"/>
            </w:tcMar>
            <w:vAlign w:val="center"/>
          </w:tcPr>
          <w:p>
            <w:pPr>
              <w:spacing w:after="40"/>
            </w:pPr>
            <w:r>
              <w:rPr>
                <w:b/>
                <w:bCs/>
                <w:color w:val="C00000"/>
                <w:sz w:val="20"/>
                <w:szCs w:val="20"/>
              </w:rPr>
              <w:t xml:space="preserve">High</w:t>
            </w:r>
          </w:p>
        </w:tc>
        <w:tc>
          <w:tcPr>
            <w:tcW w:type="dxa" w:w="3600"/>
            <w:tcMar>
              <w:top w:type="dxa" w:w="100"/>
              <w:left w:type="dxa" w:w="120"/>
              <w:bottom w:type="dxa" w:w="100"/>
              <w:right w:type="dxa" w:w="120"/>
            </w:tcMar>
            <w:vAlign w:val="center"/>
          </w:tcPr>
          <w:p>
            <w:pPr>
              <w:spacing w:after="40"/>
            </w:pPr>
            <w:r>
              <w:rPr>
                <w:sz w:val="20"/>
                <w:szCs w:val="20"/>
              </w:rPr>
              <w:t xml:space="preserve">Payment data is high-value and regulated (PCI DSS); weak vendor vetting or exposed API keys create a direct path to financial fraud and regulatory breach.</w:t>
            </w:r>
          </w:p>
        </w:tc>
      </w:tr>
      <w:tr>
        <w:tc>
          <w:tcPr>
            <w:tcW w:type="dxa" w:w="4300"/>
            <w:tcMar>
              <w:top w:type="dxa" w:w="100"/>
              <w:left w:type="dxa" w:w="120"/>
              <w:bottom w:type="dxa" w:w="100"/>
              <w:right w:type="dxa" w:w="120"/>
            </w:tcMar>
            <w:vAlign w:val="center"/>
          </w:tcPr>
          <w:p>
            <w:pPr>
              <w:spacing w:after="40"/>
            </w:pPr>
            <w:r>
              <w:rPr>
                <w:sz w:val="20"/>
                <w:szCs w:val="20"/>
              </w:rPr>
              <w:t xml:space="preserve">No automated security testing (SAST/DAST/SCA) in CI/CD</w:t>
            </w:r>
          </w:p>
        </w:tc>
        <w:tc>
          <w:tcPr>
            <w:tcW w:type="dxa" w:w="1400"/>
            <w:shd w:fill="FDF0DC" w:val="clear"/>
            <w:tcMar>
              <w:top w:type="dxa" w:w="100"/>
              <w:left w:type="dxa" w:w="120"/>
              <w:bottom w:type="dxa" w:w="100"/>
              <w:right w:type="dxa" w:w="120"/>
            </w:tcMar>
            <w:vAlign w:val="center"/>
          </w:tcPr>
          <w:p>
            <w:pPr>
              <w:spacing w:after="40"/>
            </w:pPr>
            <w:r>
              <w:rPr>
                <w:b/>
                <w:bCs/>
                <w:color w:val="B26B00"/>
                <w:sz w:val="20"/>
                <w:szCs w:val="20"/>
              </w:rPr>
              <w:t xml:space="preserve">Medium</w:t>
            </w:r>
          </w:p>
        </w:tc>
        <w:tc>
          <w:tcPr>
            <w:tcW w:type="dxa" w:w="3600"/>
            <w:tcMar>
              <w:top w:type="dxa" w:w="100"/>
              <w:left w:type="dxa" w:w="120"/>
              <w:bottom w:type="dxa" w:w="100"/>
              <w:right w:type="dxa" w:w="120"/>
            </w:tcMar>
            <w:vAlign w:val="center"/>
          </w:tcPr>
          <w:p>
            <w:pPr>
              <w:spacing w:after="40"/>
            </w:pPr>
            <w:r>
              <w:rPr>
                <w:sz w:val="20"/>
                <w:szCs w:val="20"/>
              </w:rPr>
              <w:t xml:space="preserve">Does not itself provide an entry point, but it removes the primary control that would catch the vulnerabilities above before release, so risk accumulates with every deployment.</w:t>
            </w:r>
          </w:p>
        </w:tc>
      </w:tr>
      <w:tr>
        <w:tc>
          <w:tcPr>
            <w:tcW w:type="dxa" w:w="4300"/>
            <w:tcMar>
              <w:top w:type="dxa" w:w="100"/>
              <w:left w:type="dxa" w:w="120"/>
              <w:bottom w:type="dxa" w:w="100"/>
              <w:right w:type="dxa" w:w="120"/>
            </w:tcMar>
            <w:vAlign w:val="center"/>
          </w:tcPr>
          <w:p>
            <w:pPr>
              <w:spacing w:after="40"/>
            </w:pPr>
            <w:r>
              <w:rPr>
                <w:sz w:val="20"/>
                <w:szCs w:val="20"/>
              </w:rPr>
              <w:t xml:space="preserve">No peer code review</w:t>
            </w:r>
          </w:p>
        </w:tc>
        <w:tc>
          <w:tcPr>
            <w:tcW w:type="dxa" w:w="1400"/>
            <w:shd w:fill="FDF0DC" w:val="clear"/>
            <w:tcMar>
              <w:top w:type="dxa" w:w="100"/>
              <w:left w:type="dxa" w:w="120"/>
              <w:bottom w:type="dxa" w:w="100"/>
              <w:right w:type="dxa" w:w="120"/>
            </w:tcMar>
            <w:vAlign w:val="center"/>
          </w:tcPr>
          <w:p>
            <w:pPr>
              <w:spacing w:after="40"/>
            </w:pPr>
            <w:r>
              <w:rPr>
                <w:b/>
                <w:bCs/>
                <w:color w:val="B26B00"/>
                <w:sz w:val="20"/>
                <w:szCs w:val="20"/>
              </w:rPr>
              <w:t xml:space="preserve">Medium</w:t>
            </w:r>
          </w:p>
        </w:tc>
        <w:tc>
          <w:tcPr>
            <w:tcW w:type="dxa" w:w="3600"/>
            <w:tcMar>
              <w:top w:type="dxa" w:w="100"/>
              <w:left w:type="dxa" w:w="120"/>
              <w:bottom w:type="dxa" w:w="100"/>
              <w:right w:type="dxa" w:w="120"/>
            </w:tcMar>
            <w:vAlign w:val="center"/>
          </w:tcPr>
          <w:p>
            <w:pPr>
              <w:spacing w:after="40"/>
            </w:pPr>
            <w:r>
              <w:rPr>
                <w:sz w:val="20"/>
                <w:szCs w:val="20"/>
              </w:rPr>
              <w:t xml:space="preserve">Increases the probability that insecure code is merged, but the impact is indirect — it is a control failure rather than a directly exploitable flaw.</w:t>
            </w:r>
          </w:p>
        </w:tc>
      </w:tr>
      <w:tr>
        <w:tc>
          <w:tcPr>
            <w:tcW w:type="dxa" w:w="4300"/>
            <w:tcMar>
              <w:top w:type="dxa" w:w="100"/>
              <w:left w:type="dxa" w:w="120"/>
              <w:bottom w:type="dxa" w:w="100"/>
              <w:right w:type="dxa" w:w="120"/>
            </w:tcMar>
            <w:vAlign w:val="center"/>
          </w:tcPr>
          <w:p>
            <w:pPr>
              <w:spacing w:after="40"/>
            </w:pPr>
            <w:r>
              <w:rPr>
                <w:sz w:val="20"/>
                <w:szCs w:val="20"/>
              </w:rPr>
              <w:t xml:space="preserve">Reactive-only vulnerability assessment cadence</w:t>
            </w:r>
          </w:p>
        </w:tc>
        <w:tc>
          <w:tcPr>
            <w:tcW w:type="dxa" w:w="1400"/>
            <w:shd w:fill="FDF0DC" w:val="clear"/>
            <w:tcMar>
              <w:top w:type="dxa" w:w="100"/>
              <w:left w:type="dxa" w:w="120"/>
              <w:bottom w:type="dxa" w:w="100"/>
              <w:right w:type="dxa" w:w="120"/>
            </w:tcMar>
            <w:vAlign w:val="center"/>
          </w:tcPr>
          <w:p>
            <w:pPr>
              <w:spacing w:after="40"/>
            </w:pPr>
            <w:r>
              <w:rPr>
                <w:b/>
                <w:bCs/>
                <w:color w:val="B26B00"/>
                <w:sz w:val="20"/>
                <w:szCs w:val="20"/>
              </w:rPr>
              <w:t xml:space="preserve">Medium</w:t>
            </w:r>
          </w:p>
        </w:tc>
        <w:tc>
          <w:tcPr>
            <w:tcW w:type="dxa" w:w="3600"/>
            <w:tcMar>
              <w:top w:type="dxa" w:w="100"/>
              <w:left w:type="dxa" w:w="120"/>
              <w:bottom w:type="dxa" w:w="100"/>
              <w:right w:type="dxa" w:w="120"/>
            </w:tcMar>
            <w:vAlign w:val="center"/>
          </w:tcPr>
          <w:p>
            <w:pPr>
              <w:spacing w:after="40"/>
            </w:pPr>
            <w:r>
              <w:rPr>
                <w:sz w:val="20"/>
                <w:szCs w:val="20"/>
              </w:rPr>
              <w:t xml:space="preserve">Detection happens only after exploitation, extending attacker dwell time and the scale of damage, though it does not create the vulnerability itself.</w:t>
            </w:r>
          </w:p>
        </w:tc>
      </w:tr>
      <w:tr>
        <w:tc>
          <w:tcPr>
            <w:tcW w:type="dxa" w:w="4300"/>
            <w:tcMar>
              <w:top w:type="dxa" w:w="100"/>
              <w:left w:type="dxa" w:w="120"/>
              <w:bottom w:type="dxa" w:w="100"/>
              <w:right w:type="dxa" w:w="120"/>
            </w:tcMar>
            <w:vAlign w:val="center"/>
          </w:tcPr>
          <w:p>
            <w:pPr>
              <w:spacing w:after="40"/>
            </w:pPr>
            <w:r>
              <w:rPr>
                <w:sz w:val="20"/>
                <w:szCs w:val="20"/>
              </w:rPr>
              <w:t xml:space="preserve">Insufficient logging and monitoring</w:t>
            </w:r>
          </w:p>
        </w:tc>
        <w:tc>
          <w:tcPr>
            <w:tcW w:type="dxa" w:w="1400"/>
            <w:shd w:fill="E5F0E0" w:val="clear"/>
            <w:tcMar>
              <w:top w:type="dxa" w:w="100"/>
              <w:left w:type="dxa" w:w="120"/>
              <w:bottom w:type="dxa" w:w="100"/>
              <w:right w:type="dxa" w:w="120"/>
            </w:tcMar>
            <w:vAlign w:val="center"/>
          </w:tcPr>
          <w:p>
            <w:pPr>
              <w:spacing w:after="40"/>
            </w:pPr>
            <w:r>
              <w:rPr>
                <w:b/>
                <w:bCs/>
                <w:color w:val="375623"/>
                <w:sz w:val="20"/>
                <w:szCs w:val="20"/>
              </w:rPr>
              <w:t xml:space="preserve">Low</w:t>
            </w:r>
          </w:p>
        </w:tc>
        <w:tc>
          <w:tcPr>
            <w:tcW w:type="dxa" w:w="3600"/>
            <w:tcMar>
              <w:top w:type="dxa" w:w="100"/>
              <w:left w:type="dxa" w:w="120"/>
              <w:bottom w:type="dxa" w:w="100"/>
              <w:right w:type="dxa" w:w="120"/>
            </w:tcMar>
            <w:vAlign w:val="center"/>
          </w:tcPr>
          <w:p>
            <w:pPr>
              <w:spacing w:after="40"/>
            </w:pPr>
            <w:r>
              <w:rPr>
                <w:sz w:val="20"/>
                <w:szCs w:val="20"/>
              </w:rPr>
              <w:t xml:space="preserve">Hampers detection and forensic response, and is unlikely to be directly exploitable, but it compounds the impact of every other vulnerability by delaying discovery.</w:t>
            </w:r>
          </w:p>
        </w:tc>
      </w:tr>
    </w:tbl>
    <w:p>
      <w:pPr>
        <w:spacing w:before="160"/>
      </w:pPr>
    </w:p>
    <w:p>
      <w:pPr>
        <w:pStyle w:val="Heading1"/>
        <w:pBdr>
          <w:bottom w:val="single" w:color="1F3864" w:sz="6" w:space="4"/>
        </w:pBdr>
        <w:spacing w:after="160" w:before="360"/>
      </w:pPr>
      <w:r>
        <w:rPr>
          <w:b/>
          <w:bCs/>
          <w:color w:val="1F3864"/>
        </w:rPr>
        <w:t xml:space="preserve">4. DevOps vs DevSecOps Analysis</w:t>
      </w:r>
    </w:p>
    <w:p>
      <w:pPr>
        <w:spacing w:after="140" w:line="300"/>
      </w:pPr>
      <w:r>
        <w:t xml:space="preserve">ShopNow currently operates a DevOps model tuned purely for speed. The comparison below shows why shifting to a DevSecOps model — one that embeds security throughout the lifecycle rather than bolting it on afterward — is the structural fix for the weaknesses identified in Section 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45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Comparison point</w:t>
            </w:r>
          </w:p>
        </w:tc>
        <w:tc>
          <w:tcPr>
            <w:tcW w:type="dxa" w:w="3450"/>
            <w:shd w:fill="1F3864" w:val="clear"/>
            <w:tcMar>
              <w:top w:type="dxa" w:w="100"/>
              <w:left w:type="dxa" w:w="120"/>
              <w:bottom w:type="dxa" w:w="100"/>
              <w:right w:type="dxa" w:w="120"/>
            </w:tcMar>
            <w:vAlign w:val="center"/>
          </w:tcPr>
          <w:p>
            <w:r>
              <w:rPr>
                <w:b/>
                <w:bCs/>
                <w:color w:val="FFFFFF"/>
                <w:sz w:val="20"/>
                <w:szCs w:val="20"/>
              </w:rPr>
              <w:t xml:space="preserve">DevOps</w:t>
            </w:r>
          </w:p>
        </w:tc>
        <w:tc>
          <w:tcPr>
            <w:tcW w:type="dxa" w:w="3450"/>
            <w:shd w:fill="1F3864" w:val="clear"/>
            <w:tcMar>
              <w:top w:type="dxa" w:w="100"/>
              <w:left w:type="dxa" w:w="120"/>
              <w:bottom w:type="dxa" w:w="100"/>
              <w:right w:type="dxa" w:w="120"/>
            </w:tcMar>
            <w:vAlign w:val="center"/>
          </w:tcPr>
          <w:p>
            <w:r>
              <w:rPr>
                <w:b/>
                <w:bCs/>
                <w:color w:val="FFFFFF"/>
                <w:sz w:val="20"/>
                <w:szCs w:val="20"/>
              </w:rPr>
              <w:t xml:space="preserve">DevSecOps</w:t>
            </w:r>
          </w:p>
        </w:tc>
      </w:tr>
      <w:tr>
        <w:tc>
          <w:tcPr>
            <w:tcW w:type="dxa" w:w="2400"/>
            <w:shd w:fill="F2F2F2" w:val="clear"/>
            <w:tcMar>
              <w:top w:type="dxa" w:w="100"/>
              <w:left w:type="dxa" w:w="120"/>
              <w:bottom w:type="dxa" w:w="100"/>
              <w:right w:type="dxa" w:w="120"/>
            </w:tcMar>
            <w:vAlign w:val="center"/>
          </w:tcPr>
          <w:p>
            <w:pPr>
              <w:spacing w:after="40"/>
            </w:pPr>
            <w:r>
              <w:rPr>
                <w:b/>
                <w:bCs/>
                <w:sz w:val="20"/>
                <w:szCs w:val="20"/>
              </w:rPr>
              <w:t xml:space="preserve">Primary goal</w:t>
            </w:r>
          </w:p>
        </w:tc>
        <w:tc>
          <w:tcPr>
            <w:tcW w:type="dxa" w:w="3450"/>
            <w:shd w:fill="F2F2F2" w:val="clear"/>
            <w:tcMar>
              <w:top w:type="dxa" w:w="100"/>
              <w:left w:type="dxa" w:w="120"/>
              <w:bottom w:type="dxa" w:w="100"/>
              <w:right w:type="dxa" w:w="120"/>
            </w:tcMar>
            <w:vAlign w:val="center"/>
          </w:tcPr>
          <w:p>
            <w:pPr>
              <w:spacing w:after="40"/>
            </w:pPr>
            <w:r>
              <w:rPr>
                <w:sz w:val="20"/>
                <w:szCs w:val="20"/>
              </w:rPr>
              <w:t xml:space="preserve">Speed and frequency of delivery</w:t>
            </w:r>
          </w:p>
        </w:tc>
        <w:tc>
          <w:tcPr>
            <w:tcW w:type="dxa" w:w="3450"/>
            <w:shd w:fill="F2F2F2" w:val="clear"/>
            <w:tcMar>
              <w:top w:type="dxa" w:w="100"/>
              <w:left w:type="dxa" w:w="120"/>
              <w:bottom w:type="dxa" w:w="100"/>
              <w:right w:type="dxa" w:w="120"/>
            </w:tcMar>
            <w:vAlign w:val="center"/>
          </w:tcPr>
          <w:p>
            <w:pPr>
              <w:spacing w:after="40"/>
            </w:pPr>
            <w:r>
              <w:rPr>
                <w:sz w:val="20"/>
                <w:szCs w:val="20"/>
              </w:rPr>
              <w:t xml:space="preserve">Speed of delivery without compromising security</w:t>
            </w:r>
          </w:p>
        </w:tc>
      </w:tr>
      <w:tr>
        <w:tc>
          <w:tcPr>
            <w:tcW w:type="dxa" w:w="2400"/>
            <w:tcMar>
              <w:top w:type="dxa" w:w="100"/>
              <w:left w:type="dxa" w:w="120"/>
              <w:bottom w:type="dxa" w:w="100"/>
              <w:right w:type="dxa" w:w="120"/>
            </w:tcMar>
            <w:vAlign w:val="center"/>
          </w:tcPr>
          <w:p>
            <w:pPr>
              <w:spacing w:after="40"/>
            </w:pPr>
            <w:r>
              <w:rPr>
                <w:b/>
                <w:bCs/>
                <w:sz w:val="20"/>
                <w:szCs w:val="20"/>
              </w:rPr>
              <w:t xml:space="preserve">Security ownership</w:t>
            </w:r>
          </w:p>
        </w:tc>
        <w:tc>
          <w:tcPr>
            <w:tcW w:type="dxa" w:w="3450"/>
            <w:tcMar>
              <w:top w:type="dxa" w:w="100"/>
              <w:left w:type="dxa" w:w="120"/>
              <w:bottom w:type="dxa" w:w="100"/>
              <w:right w:type="dxa" w:w="120"/>
            </w:tcMar>
            <w:vAlign w:val="center"/>
          </w:tcPr>
          <w:p>
            <w:pPr>
              <w:spacing w:after="40"/>
            </w:pPr>
            <w:r>
              <w:rPr>
                <w:sz w:val="20"/>
                <w:szCs w:val="20"/>
              </w:rPr>
              <w:t xml:space="preserve">Left to a separate security team, usually post-release</w:t>
            </w:r>
          </w:p>
        </w:tc>
        <w:tc>
          <w:tcPr>
            <w:tcW w:type="dxa" w:w="3450"/>
            <w:tcMar>
              <w:top w:type="dxa" w:w="100"/>
              <w:left w:type="dxa" w:w="120"/>
              <w:bottom w:type="dxa" w:w="100"/>
              <w:right w:type="dxa" w:w="120"/>
            </w:tcMar>
            <w:vAlign w:val="center"/>
          </w:tcPr>
          <w:p>
            <w:pPr>
              <w:spacing w:after="40"/>
            </w:pPr>
            <w:r>
              <w:rPr>
                <w:sz w:val="20"/>
                <w:szCs w:val="20"/>
              </w:rPr>
              <w:t xml:space="preserve">Shared by developers, operations and security ('everyone owns security')</w:t>
            </w:r>
          </w:p>
        </w:tc>
      </w:tr>
      <w:tr>
        <w:tc>
          <w:tcPr>
            <w:tcW w:type="dxa" w:w="2400"/>
            <w:shd w:fill="F2F2F2" w:val="clear"/>
            <w:tcMar>
              <w:top w:type="dxa" w:w="100"/>
              <w:left w:type="dxa" w:w="120"/>
              <w:bottom w:type="dxa" w:w="100"/>
              <w:right w:type="dxa" w:w="120"/>
            </w:tcMar>
            <w:vAlign w:val="center"/>
          </w:tcPr>
          <w:p>
            <w:pPr>
              <w:spacing w:after="40"/>
            </w:pPr>
            <w:r>
              <w:rPr>
                <w:b/>
                <w:bCs/>
                <w:sz w:val="20"/>
                <w:szCs w:val="20"/>
              </w:rPr>
              <w:t xml:space="preserve">Point security is applied</w:t>
            </w:r>
          </w:p>
        </w:tc>
        <w:tc>
          <w:tcPr>
            <w:tcW w:type="dxa" w:w="3450"/>
            <w:shd w:fill="F2F2F2" w:val="clear"/>
            <w:tcMar>
              <w:top w:type="dxa" w:w="100"/>
              <w:left w:type="dxa" w:w="120"/>
              <w:bottom w:type="dxa" w:w="100"/>
              <w:right w:type="dxa" w:w="120"/>
            </w:tcMar>
            <w:vAlign w:val="center"/>
          </w:tcPr>
          <w:p>
            <w:pPr>
              <w:spacing w:after="40"/>
            </w:pPr>
            <w:r>
              <w:rPr>
                <w:sz w:val="20"/>
                <w:szCs w:val="20"/>
              </w:rPr>
              <w:t xml:space="preserve">Late — after code is built, sometimes after deployment</w:t>
            </w:r>
          </w:p>
        </w:tc>
        <w:tc>
          <w:tcPr>
            <w:tcW w:type="dxa" w:w="3450"/>
            <w:shd w:fill="F2F2F2" w:val="clear"/>
            <w:tcMar>
              <w:top w:type="dxa" w:w="100"/>
              <w:left w:type="dxa" w:w="120"/>
              <w:bottom w:type="dxa" w:w="100"/>
              <w:right w:type="dxa" w:w="120"/>
            </w:tcMar>
            <w:vAlign w:val="center"/>
          </w:tcPr>
          <w:p>
            <w:pPr>
              <w:spacing w:after="40"/>
            </w:pPr>
            <w:r>
              <w:rPr>
                <w:sz w:val="20"/>
                <w:szCs w:val="20"/>
              </w:rPr>
              <w:t xml:space="preserve">Early and continuously — 'shift-left', from design through deployment</w:t>
            </w:r>
          </w:p>
        </w:tc>
      </w:tr>
      <w:tr>
        <w:tc>
          <w:tcPr>
            <w:tcW w:type="dxa" w:w="2400"/>
            <w:tcMar>
              <w:top w:type="dxa" w:w="100"/>
              <w:left w:type="dxa" w:w="120"/>
              <w:bottom w:type="dxa" w:w="100"/>
              <w:right w:type="dxa" w:w="120"/>
            </w:tcMar>
            <w:vAlign w:val="center"/>
          </w:tcPr>
          <w:p>
            <w:pPr>
              <w:spacing w:after="40"/>
            </w:pPr>
            <w:r>
              <w:rPr>
                <w:b/>
                <w:bCs/>
                <w:sz w:val="20"/>
                <w:szCs w:val="20"/>
              </w:rPr>
              <w:t xml:space="preserve">Testing types automated in CI/CD</w:t>
            </w:r>
          </w:p>
        </w:tc>
        <w:tc>
          <w:tcPr>
            <w:tcW w:type="dxa" w:w="3450"/>
            <w:tcMar>
              <w:top w:type="dxa" w:w="100"/>
              <w:left w:type="dxa" w:w="120"/>
              <w:bottom w:type="dxa" w:w="100"/>
              <w:right w:type="dxa" w:w="120"/>
            </w:tcMar>
            <w:vAlign w:val="center"/>
          </w:tcPr>
          <w:p>
            <w:pPr>
              <w:spacing w:after="40"/>
            </w:pPr>
            <w:r>
              <w:rPr>
                <w:sz w:val="20"/>
                <w:szCs w:val="20"/>
              </w:rPr>
              <w:t xml:space="preserve">Functional, unit and performance testing only</w:t>
            </w:r>
          </w:p>
        </w:tc>
        <w:tc>
          <w:tcPr>
            <w:tcW w:type="dxa" w:w="3450"/>
            <w:tcMar>
              <w:top w:type="dxa" w:w="100"/>
              <w:left w:type="dxa" w:w="120"/>
              <w:bottom w:type="dxa" w:w="100"/>
              <w:right w:type="dxa" w:w="120"/>
            </w:tcMar>
            <w:vAlign w:val="center"/>
          </w:tcPr>
          <w:p>
            <w:pPr>
              <w:spacing w:after="40"/>
            </w:pPr>
            <w:r>
              <w:rPr>
                <w:sz w:val="20"/>
                <w:szCs w:val="20"/>
              </w:rPr>
              <w:t xml:space="preserve">Functional testing plus SAST, DAST, SCA and container/image scanning</w:t>
            </w:r>
          </w:p>
        </w:tc>
      </w:tr>
      <w:tr>
        <w:tc>
          <w:tcPr>
            <w:tcW w:type="dxa" w:w="2400"/>
            <w:shd w:fill="F2F2F2" w:val="clear"/>
            <w:tcMar>
              <w:top w:type="dxa" w:w="100"/>
              <w:left w:type="dxa" w:w="120"/>
              <w:bottom w:type="dxa" w:w="100"/>
              <w:right w:type="dxa" w:w="120"/>
            </w:tcMar>
            <w:vAlign w:val="center"/>
          </w:tcPr>
          <w:p>
            <w:pPr>
              <w:spacing w:after="40"/>
            </w:pPr>
            <w:r>
              <w:rPr>
                <w:b/>
                <w:bCs/>
                <w:sz w:val="20"/>
                <w:szCs w:val="20"/>
              </w:rPr>
              <w:t xml:space="preserve">Release gate</w:t>
            </w:r>
          </w:p>
        </w:tc>
        <w:tc>
          <w:tcPr>
            <w:tcW w:type="dxa" w:w="3450"/>
            <w:shd w:fill="F2F2F2" w:val="clear"/>
            <w:tcMar>
              <w:top w:type="dxa" w:w="100"/>
              <w:left w:type="dxa" w:w="120"/>
              <w:bottom w:type="dxa" w:w="100"/>
              <w:right w:type="dxa" w:w="120"/>
            </w:tcMar>
            <w:vAlign w:val="center"/>
          </w:tcPr>
          <w:p>
            <w:pPr>
              <w:spacing w:after="40"/>
            </w:pPr>
            <w:r>
              <w:rPr>
                <w:sz w:val="20"/>
                <w:szCs w:val="20"/>
              </w:rPr>
              <w:t xml:space="preserve">Passes if the build works and tests are green</w:t>
            </w:r>
          </w:p>
        </w:tc>
        <w:tc>
          <w:tcPr>
            <w:tcW w:type="dxa" w:w="3450"/>
            <w:shd w:fill="F2F2F2" w:val="clear"/>
            <w:tcMar>
              <w:top w:type="dxa" w:w="100"/>
              <w:left w:type="dxa" w:w="120"/>
              <w:bottom w:type="dxa" w:w="100"/>
              <w:right w:type="dxa" w:w="120"/>
            </w:tcMar>
            <w:vAlign w:val="center"/>
          </w:tcPr>
          <w:p>
            <w:pPr>
              <w:spacing w:after="40"/>
            </w:pPr>
            <w:r>
              <w:rPr>
                <w:sz w:val="20"/>
                <w:szCs w:val="20"/>
              </w:rPr>
              <w:t xml:space="preserve">Passes only if the build works, is tested, and clears security checks</w:t>
            </w:r>
          </w:p>
        </w:tc>
      </w:tr>
      <w:tr>
        <w:tc>
          <w:tcPr>
            <w:tcW w:type="dxa" w:w="2400"/>
            <w:tcMar>
              <w:top w:type="dxa" w:w="100"/>
              <w:left w:type="dxa" w:w="120"/>
              <w:bottom w:type="dxa" w:w="100"/>
              <w:right w:type="dxa" w:w="120"/>
            </w:tcMar>
            <w:vAlign w:val="center"/>
          </w:tcPr>
          <w:p>
            <w:pPr>
              <w:spacing w:after="40"/>
            </w:pPr>
            <w:r>
              <w:rPr>
                <w:b/>
                <w:bCs/>
                <w:sz w:val="20"/>
                <w:szCs w:val="20"/>
              </w:rPr>
              <w:t xml:space="preserve">Handling of third-party components</w:t>
            </w:r>
          </w:p>
        </w:tc>
        <w:tc>
          <w:tcPr>
            <w:tcW w:type="dxa" w:w="3450"/>
            <w:tcMar>
              <w:top w:type="dxa" w:w="100"/>
              <w:left w:type="dxa" w:w="120"/>
              <w:bottom w:type="dxa" w:w="100"/>
              <w:right w:type="dxa" w:w="120"/>
            </w:tcMar>
            <w:vAlign w:val="center"/>
          </w:tcPr>
          <w:p>
            <w:pPr>
              <w:spacing w:after="40"/>
            </w:pPr>
            <w:r>
              <w:rPr>
                <w:sz w:val="20"/>
                <w:szCs w:val="20"/>
              </w:rPr>
              <w:t xml:space="preserve">Rarely tracked systematically</w:t>
            </w:r>
          </w:p>
        </w:tc>
        <w:tc>
          <w:tcPr>
            <w:tcW w:type="dxa" w:w="3450"/>
            <w:tcMar>
              <w:top w:type="dxa" w:w="100"/>
              <w:left w:type="dxa" w:w="120"/>
              <w:bottom w:type="dxa" w:w="100"/>
              <w:right w:type="dxa" w:w="120"/>
            </w:tcMar>
            <w:vAlign w:val="center"/>
          </w:tcPr>
          <w:p>
            <w:pPr>
              <w:spacing w:after="40"/>
            </w:pPr>
            <w:r>
              <w:rPr>
                <w:sz w:val="20"/>
                <w:szCs w:val="20"/>
              </w:rPr>
              <w:t xml:space="preserve">Continuously scanned for known vulnerabilities (e.g. via SCA/dependency checks)</w:t>
            </w:r>
          </w:p>
        </w:tc>
      </w:tr>
      <w:tr>
        <w:tc>
          <w:tcPr>
            <w:tcW w:type="dxa" w:w="2400"/>
            <w:shd w:fill="F2F2F2" w:val="clear"/>
            <w:tcMar>
              <w:top w:type="dxa" w:w="100"/>
              <w:left w:type="dxa" w:w="120"/>
              <w:bottom w:type="dxa" w:w="100"/>
              <w:right w:type="dxa" w:w="120"/>
            </w:tcMar>
            <w:vAlign w:val="center"/>
          </w:tcPr>
          <w:p>
            <w:pPr>
              <w:spacing w:after="40"/>
            </w:pPr>
            <w:r>
              <w:rPr>
                <w:b/>
                <w:bCs/>
                <w:sz w:val="20"/>
                <w:szCs w:val="20"/>
              </w:rPr>
              <w:t xml:space="preserve">Incident response</w:t>
            </w:r>
          </w:p>
        </w:tc>
        <w:tc>
          <w:tcPr>
            <w:tcW w:type="dxa" w:w="3450"/>
            <w:shd w:fill="F2F2F2" w:val="clear"/>
            <w:tcMar>
              <w:top w:type="dxa" w:w="100"/>
              <w:left w:type="dxa" w:w="120"/>
              <w:bottom w:type="dxa" w:w="100"/>
              <w:right w:type="dxa" w:w="120"/>
            </w:tcMar>
            <w:vAlign w:val="center"/>
          </w:tcPr>
          <w:p>
            <w:pPr>
              <w:spacing w:after="40"/>
            </w:pPr>
            <w:r>
              <w:rPr>
                <w:sz w:val="20"/>
                <w:szCs w:val="20"/>
              </w:rPr>
              <w:t xml:space="preserve">Reactive, triggered after a breach is discovered</w:t>
            </w:r>
          </w:p>
        </w:tc>
        <w:tc>
          <w:tcPr>
            <w:tcW w:type="dxa" w:w="3450"/>
            <w:shd w:fill="F2F2F2" w:val="clear"/>
            <w:tcMar>
              <w:top w:type="dxa" w:w="100"/>
              <w:left w:type="dxa" w:w="120"/>
              <w:bottom w:type="dxa" w:w="100"/>
              <w:right w:type="dxa" w:w="120"/>
            </w:tcMar>
            <w:vAlign w:val="center"/>
          </w:tcPr>
          <w:p>
            <w:pPr>
              <w:spacing w:after="40"/>
            </w:pPr>
            <w:r>
              <w:rPr>
                <w:sz w:val="20"/>
                <w:szCs w:val="20"/>
              </w:rPr>
              <w:t xml:space="preserve">Proactive monitoring and threat modelling to reduce breaches before they occur</w:t>
            </w:r>
          </w:p>
        </w:tc>
      </w:tr>
      <w:tr>
        <w:tc>
          <w:tcPr>
            <w:tcW w:type="dxa" w:w="2400"/>
            <w:tcMar>
              <w:top w:type="dxa" w:w="100"/>
              <w:left w:type="dxa" w:w="120"/>
              <w:bottom w:type="dxa" w:w="100"/>
              <w:right w:type="dxa" w:w="120"/>
            </w:tcMar>
            <w:vAlign w:val="center"/>
          </w:tcPr>
          <w:p>
            <w:pPr>
              <w:spacing w:after="40"/>
            </w:pPr>
            <w:r>
              <w:rPr>
                <w:b/>
                <w:bCs/>
                <w:sz w:val="20"/>
                <w:szCs w:val="20"/>
              </w:rPr>
              <w:t xml:space="preserve">Compliance &amp; audit readiness</w:t>
            </w:r>
          </w:p>
        </w:tc>
        <w:tc>
          <w:tcPr>
            <w:tcW w:type="dxa" w:w="3450"/>
            <w:tcMar>
              <w:top w:type="dxa" w:w="100"/>
              <w:left w:type="dxa" w:w="120"/>
              <w:bottom w:type="dxa" w:w="100"/>
              <w:right w:type="dxa" w:w="120"/>
            </w:tcMar>
            <w:vAlign w:val="center"/>
          </w:tcPr>
          <w:p>
            <w:pPr>
              <w:spacing w:after="40"/>
            </w:pPr>
            <w:r>
              <w:rPr>
                <w:sz w:val="20"/>
                <w:szCs w:val="20"/>
              </w:rPr>
              <w:t xml:space="preserve">Addressed manually and periodically</w:t>
            </w:r>
          </w:p>
        </w:tc>
        <w:tc>
          <w:tcPr>
            <w:tcW w:type="dxa" w:w="3450"/>
            <w:tcMar>
              <w:top w:type="dxa" w:w="100"/>
              <w:left w:type="dxa" w:w="120"/>
              <w:bottom w:type="dxa" w:w="100"/>
              <w:right w:type="dxa" w:w="120"/>
            </w:tcMar>
            <w:vAlign w:val="center"/>
          </w:tcPr>
          <w:p>
            <w:pPr>
              <w:spacing w:after="40"/>
            </w:pPr>
            <w:r>
              <w:rPr>
                <w:sz w:val="20"/>
                <w:szCs w:val="20"/>
              </w:rPr>
              <w:t xml:space="preserve">Built into the pipeline as continuous, automatically evidenced controls</w:t>
            </w:r>
          </w:p>
        </w:tc>
      </w:tr>
      <w:tr>
        <w:tc>
          <w:tcPr>
            <w:tcW w:type="dxa" w:w="2400"/>
            <w:shd w:fill="F2F2F2" w:val="clear"/>
            <w:tcMar>
              <w:top w:type="dxa" w:w="100"/>
              <w:left w:type="dxa" w:w="120"/>
              <w:bottom w:type="dxa" w:w="100"/>
              <w:right w:type="dxa" w:w="120"/>
            </w:tcMar>
            <w:vAlign w:val="center"/>
          </w:tcPr>
          <w:p>
            <w:pPr>
              <w:spacing w:after="40"/>
            </w:pPr>
            <w:r>
              <w:rPr>
                <w:b/>
                <w:bCs/>
                <w:sz w:val="20"/>
                <w:szCs w:val="20"/>
              </w:rPr>
              <w:t xml:space="preserve">Cultural mindset</w:t>
            </w:r>
          </w:p>
        </w:tc>
        <w:tc>
          <w:tcPr>
            <w:tcW w:type="dxa" w:w="3450"/>
            <w:shd w:fill="F2F2F2" w:val="clear"/>
            <w:tcMar>
              <w:top w:type="dxa" w:w="100"/>
              <w:left w:type="dxa" w:w="120"/>
              <w:bottom w:type="dxa" w:w="100"/>
              <w:right w:type="dxa" w:w="120"/>
            </w:tcMar>
            <w:vAlign w:val="center"/>
          </w:tcPr>
          <w:p>
            <w:pPr>
              <w:spacing w:after="40"/>
            </w:pPr>
            <w:r>
              <w:rPr>
                <w:sz w:val="20"/>
                <w:szCs w:val="20"/>
              </w:rPr>
              <w:t xml:space="preserve">"Move fast"</w:t>
            </w:r>
          </w:p>
        </w:tc>
        <w:tc>
          <w:tcPr>
            <w:tcW w:type="dxa" w:w="3450"/>
            <w:shd w:fill="F2F2F2" w:val="clear"/>
            <w:tcMar>
              <w:top w:type="dxa" w:w="100"/>
              <w:left w:type="dxa" w:w="120"/>
              <w:bottom w:type="dxa" w:w="100"/>
              <w:right w:type="dxa" w:w="120"/>
            </w:tcMar>
            <w:vAlign w:val="center"/>
          </w:tcPr>
          <w:p>
            <w:pPr>
              <w:spacing w:after="40"/>
            </w:pPr>
            <w:r>
              <w:rPr>
                <w:sz w:val="20"/>
                <w:szCs w:val="20"/>
              </w:rPr>
              <w:t xml:space="preserve">"Move fast and stay secure" — security is a shared quality attribute, not a blocker</w:t>
            </w:r>
          </w:p>
        </w:tc>
      </w:tr>
    </w:tbl>
    <w:p>
      <w:pPr>
        <w:spacing w:before="160"/>
      </w:pPr>
    </w:p>
    <w:p>
      <w:pPr>
        <w:pStyle w:val="Heading1"/>
        <w:pBdr>
          <w:bottom w:val="single" w:color="1F3864" w:sz="6" w:space="4"/>
        </w:pBdr>
        <w:spacing w:after="160" w:before="360"/>
      </w:pPr>
      <w:r>
        <w:rPr>
          <w:b/>
          <w:bCs/>
          <w:color w:val="1F3864"/>
        </w:rPr>
        <w:t xml:space="preserve">5. OWASP Recommendations</w:t>
      </w:r>
    </w:p>
    <w:p>
      <w:pPr>
        <w:spacing w:after="140" w:line="300"/>
      </w:pPr>
      <w:r>
        <w:t xml:space="preserve">The following five OWASP-aligned practices, adopted together, address the root causes identified above rather than just the symptoms:</w:t>
      </w:r>
    </w:p>
    <w:p>
      <w:pPr>
        <w:pStyle w:val="ListParagraph"/>
        <w:numPr>
          <w:ilvl w:val="0"/>
          <w:numId w:val="2"/>
        </w:numPr>
        <w:spacing w:after="140" w:line="290"/>
      </w:pPr>
      <w:r>
        <w:rPr>
          <w:b/>
          <w:bCs/>
        </w:rPr>
        <w:t xml:space="preserve">Enforce Multi-Factor Authentication and strong session management (OWASP ASVS V2/V3, Authentication &amp; Session Management Cheat Sheets)
</w:t>
      </w:r>
      <w:r>
        <w:rPr>
          <w:b/>
          <w:bCs/>
          <w:i/>
          <w:iCs/>
        </w:rPr>
        <w:t xml:space="preserve">Benefit: </w:t>
      </w:r>
      <w:r>
        <w:t xml:space="preserve">Directly closes the account-takeover path exploited via credential stuffing and session hijacking, which is the most probable cause of the reported fraudulent activity.</w:t>
      </w:r>
    </w:p>
    <w:p>
      <w:pPr>
        <w:pStyle w:val="ListParagraph"/>
        <w:numPr>
          <w:ilvl w:val="0"/>
          <w:numId w:val="2"/>
        </w:numPr>
        <w:spacing w:after="140" w:line="290"/>
      </w:pPr>
      <w:r>
        <w:rPr>
          <w:b/>
          <w:bCs/>
        </w:rPr>
        <w:t xml:space="preserve">Adopt secure coding standards with mandatory peer/security code review before merge (OWASP Secure Coding Practices)
</w:t>
      </w:r>
      <w:r>
        <w:rPr>
          <w:b/>
          <w:bCs/>
          <w:i/>
          <w:iCs/>
        </w:rPr>
        <w:t xml:space="preserve">Benefit: </w:t>
      </w:r>
      <w:r>
        <w:t xml:space="preserve">Catches insecure patterns — missing validation, hard-coded secrets, broken access control — before they ever reach production, addressing the root process gap.</w:t>
      </w:r>
    </w:p>
    <w:p>
      <w:pPr>
        <w:pStyle w:val="ListParagraph"/>
        <w:numPr>
          <w:ilvl w:val="0"/>
          <w:numId w:val="2"/>
        </w:numPr>
        <w:spacing w:after="140" w:line="290"/>
      </w:pPr>
      <w:r>
        <w:rPr>
          <w:b/>
          <w:bCs/>
        </w:rPr>
        <w:t xml:space="preserve">Implement input validation and parameterised queries to prevent Injection and XSS (OWASP Top 10 A03: Injection)
</w:t>
      </w:r>
      <w:r>
        <w:rPr>
          <w:b/>
          <w:bCs/>
          <w:i/>
          <w:iCs/>
        </w:rPr>
        <w:t xml:space="preserve">Benefit: </w:t>
      </w:r>
      <w:r>
        <w:t xml:space="preserve">Removes one of the most common and highest-impact vulnerability classes, protecting the customer and order database from compromise.</w:t>
      </w:r>
    </w:p>
    <w:p>
      <w:pPr>
        <w:pStyle w:val="ListParagraph"/>
        <w:numPr>
          <w:ilvl w:val="0"/>
          <w:numId w:val="2"/>
        </w:numPr>
        <w:spacing w:after="140" w:line="290"/>
      </w:pPr>
      <w:r>
        <w:rPr>
          <w:b/>
          <w:bCs/>
        </w:rPr>
        <w:t xml:space="preserve">Integrate Software Composition Analysis (SCA) / OWASP Dependency-Check into the CI/CD pipeline (OWASP Top 10 A06: Vulnerable and Outdated Components)
</w:t>
      </w:r>
      <w:r>
        <w:rPr>
          <w:b/>
          <w:bCs/>
          <w:i/>
          <w:iCs/>
        </w:rPr>
        <w:t xml:space="preserve">Benefit: </w:t>
      </w:r>
      <w:r>
        <w:t xml:space="preserve">Continuously verifies that third-party payment SDKs and open-source libraries are free of known CVEs, reducing supply-chain risk from vendor integrations.</w:t>
      </w:r>
    </w:p>
    <w:p>
      <w:pPr>
        <w:pStyle w:val="ListParagraph"/>
        <w:numPr>
          <w:ilvl w:val="0"/>
          <w:numId w:val="2"/>
        </w:numPr>
        <w:spacing w:after="140" w:line="290"/>
      </w:pPr>
      <w:r>
        <w:rPr>
          <w:b/>
          <w:bCs/>
        </w:rPr>
        <w:t xml:space="preserve">Run automated DAST scans (e.g. OWASP ZAP) against every build in a staging environment before release
</w:t>
      </w:r>
      <w:r>
        <w:rPr>
          <w:b/>
          <w:bCs/>
          <w:i/>
          <w:iCs/>
        </w:rPr>
        <w:t xml:space="preserve">Benefit: </w:t>
      </w:r>
      <w:r>
        <w:t xml:space="preserve">Provides a proactive, pre-release security gate — replacing the current reactive, post-incident-only assessment cycle — and enforces least-privilege access control checks.</w:t>
      </w:r>
    </w:p>
    <w:p>
      <w:pPr>
        <w:pStyle w:val="Heading1"/>
        <w:pBdr>
          <w:bottom w:val="single" w:color="1F3864" w:sz="6" w:space="4"/>
        </w:pBdr>
        <w:spacing w:after="160" w:before="360"/>
      </w:pPr>
      <w:r>
        <w:rPr>
          <w:b/>
          <w:bCs/>
          <w:color w:val="1F3864"/>
        </w:rPr>
        <w:t xml:space="preserve">6. Business Impact Analysis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7400"/>
      </w:tblGrid>
      <w:tr>
        <w:trPr>
          <w:tblHeader/>
        </w:trPr>
        <w:tc>
          <w:tcPr>
            <w:tcW w:type="dxa" w:w="1900"/>
            <w:shd w:fill="1F3864" w:val="clear"/>
            <w:tcMar>
              <w:top w:type="dxa" w:w="100"/>
              <w:left w:type="dxa" w:w="120"/>
              <w:bottom w:type="dxa" w:w="100"/>
              <w:right w:type="dxa" w:w="120"/>
            </w:tcMar>
            <w:vAlign w:val="center"/>
          </w:tcPr>
          <w:p>
            <w:r>
              <w:rPr>
                <w:b/>
                <w:bCs/>
                <w:color w:val="FFFFFF"/>
                <w:sz w:val="20"/>
                <w:szCs w:val="20"/>
              </w:rPr>
              <w:t xml:space="preserve">Impact area</w:t>
            </w:r>
          </w:p>
        </w:tc>
        <w:tc>
          <w:tcPr>
            <w:tcW w:type="dxa" w:w="7400"/>
            <w:shd w:fill="1F3864" w:val="clear"/>
            <w:tcMar>
              <w:top w:type="dxa" w:w="100"/>
              <w:left w:type="dxa" w:w="120"/>
              <w:bottom w:type="dxa" w:w="100"/>
              <w:right w:type="dxa" w:w="120"/>
            </w:tcMar>
            <w:vAlign w:val="center"/>
          </w:tcPr>
          <w:p>
            <w:r>
              <w:rPr>
                <w:b/>
                <w:bCs/>
                <w:color w:val="FFFFFF"/>
                <w:sz w:val="20"/>
                <w:szCs w:val="20"/>
              </w:rPr>
              <w:t xml:space="preserve">Consequences if unresolved</w:t>
            </w:r>
          </w:p>
        </w:tc>
      </w:tr>
      <w:tr>
        <w:tc>
          <w:tcPr>
            <w:tcW w:type="dxa" w:w="1900"/>
            <w:shd w:fill="DCE6F1" w:val="clear"/>
            <w:tcMar>
              <w:top w:type="dxa" w:w="100"/>
              <w:left w:type="dxa" w:w="120"/>
              <w:bottom w:type="dxa" w:w="100"/>
              <w:right w:type="dxa" w:w="120"/>
            </w:tcMar>
            <w:vAlign w:val="center"/>
          </w:tcPr>
          <w:p>
            <w:pPr>
              <w:spacing w:after="40"/>
            </w:pPr>
            <w:r>
              <w:rPr>
                <w:b/>
                <w:bCs/>
                <w:color w:val="1F3864"/>
                <w:sz w:val="20"/>
                <w:szCs w:val="20"/>
              </w:rPr>
              <w:t xml:space="preserve">Financial</w:t>
            </w:r>
          </w:p>
        </w:tc>
        <w:tc>
          <w:tcPr>
            <w:tcW w:type="dxa" w:w="7400"/>
            <w:shd w:fill="DCE6F1" w:val="clear"/>
            <w:tcMar>
              <w:top w:type="dxa" w:w="100"/>
              <w:left w:type="dxa" w:w="120"/>
              <w:bottom w:type="dxa" w:w="100"/>
              <w:right w:type="dxa" w:w="120"/>
            </w:tcMar>
            <w:vAlign w:val="center"/>
          </w:tcPr>
          <w:p>
            <w:pPr>
              <w:spacing w:after="40"/>
            </w:pPr>
            <w:r>
              <w:rPr>
                <w:sz w:val="20"/>
                <w:szCs w:val="20"/>
              </w:rPr>
              <w:t xml:space="preserve">Fraudulent transactions drive direct losses, chargeback fees and potential PCI DSS non-compliance penalties; incident response, forensic investigation and emergency remediation carry significant unplanned cost, and customer churn following the fraud reports reduces revenue.</w:t>
            </w:r>
          </w:p>
        </w:tc>
      </w:tr>
      <w:tr>
        <w:tc>
          <w:tcPr>
            <w:tcW w:type="dxa" w:w="1900"/>
            <w:tcMar>
              <w:top w:type="dxa" w:w="100"/>
              <w:left w:type="dxa" w:w="120"/>
              <w:bottom w:type="dxa" w:w="100"/>
              <w:right w:type="dxa" w:w="120"/>
            </w:tcMar>
            <w:vAlign w:val="center"/>
          </w:tcPr>
          <w:p>
            <w:pPr>
              <w:spacing w:after="40"/>
            </w:pPr>
            <w:r>
              <w:rPr>
                <w:b/>
                <w:bCs/>
                <w:color w:val="1F3864"/>
                <w:sz w:val="20"/>
                <w:szCs w:val="20"/>
              </w:rPr>
              <w:t xml:space="preserve">Operational</w:t>
            </w:r>
          </w:p>
        </w:tc>
        <w:tc>
          <w:tcPr>
            <w:tcW w:type="dxa" w:w="7400"/>
            <w:tcMar>
              <w:top w:type="dxa" w:w="100"/>
              <w:left w:type="dxa" w:w="120"/>
              <w:bottom w:type="dxa" w:w="100"/>
              <w:right w:type="dxa" w:w="120"/>
            </w:tcMar>
            <w:vAlign w:val="center"/>
          </w:tcPr>
          <w:p>
            <w:pPr>
              <w:spacing w:after="40"/>
            </w:pPr>
            <w:r>
              <w:rPr>
                <w:sz w:val="20"/>
                <w:szCs w:val="20"/>
              </w:rPr>
              <w:t xml:space="preserve">Post-incident firefighting diverts engineering time away from feature delivery; without staging gates or automated testing, fixing vulnerabilities under pressure also risks introducing new outages, compounding downtime and support load.</w:t>
            </w:r>
          </w:p>
        </w:tc>
      </w:tr>
      <w:tr>
        <w:tc>
          <w:tcPr>
            <w:tcW w:type="dxa" w:w="1900"/>
            <w:shd w:fill="DCE6F1" w:val="clear"/>
            <w:tcMar>
              <w:top w:type="dxa" w:w="100"/>
              <w:left w:type="dxa" w:w="120"/>
              <w:bottom w:type="dxa" w:w="100"/>
              <w:right w:type="dxa" w:w="120"/>
            </w:tcMar>
            <w:vAlign w:val="center"/>
          </w:tcPr>
          <w:p>
            <w:pPr>
              <w:spacing w:after="40"/>
            </w:pPr>
            <w:r>
              <w:rPr>
                <w:b/>
                <w:bCs/>
                <w:color w:val="1F3864"/>
                <w:sz w:val="20"/>
                <w:szCs w:val="20"/>
              </w:rPr>
              <w:t xml:space="preserve">Legal &amp; Compliance</w:t>
            </w:r>
          </w:p>
        </w:tc>
        <w:tc>
          <w:tcPr>
            <w:tcW w:type="dxa" w:w="7400"/>
            <w:shd w:fill="DCE6F1" w:val="clear"/>
            <w:tcMar>
              <w:top w:type="dxa" w:w="100"/>
              <w:left w:type="dxa" w:w="120"/>
              <w:bottom w:type="dxa" w:w="100"/>
              <w:right w:type="dxa" w:w="120"/>
            </w:tcMar>
            <w:vAlign w:val="center"/>
          </w:tcPr>
          <w:p>
            <w:pPr>
              <w:spacing w:after="40"/>
            </w:pPr>
            <w:r>
              <w:rPr>
                <w:sz w:val="20"/>
                <w:szCs w:val="20"/>
              </w:rPr>
              <w:t xml:space="preserve">As a payment processor handling cardholder data, ShopNow is subject to PCI DSS; weak authentication and unreviewed code are direct audit failures. Depending on jurisdiction, breach-notification laws (e.g. GDPR-style regimes) may also require disclosure to customers and regulators, with fines for non-compliance.</w:t>
            </w:r>
          </w:p>
        </w:tc>
      </w:tr>
      <w:tr>
        <w:tc>
          <w:tcPr>
            <w:tcW w:type="dxa" w:w="1900"/>
            <w:tcMar>
              <w:top w:type="dxa" w:w="100"/>
              <w:left w:type="dxa" w:w="120"/>
              <w:bottom w:type="dxa" w:w="100"/>
              <w:right w:type="dxa" w:w="120"/>
            </w:tcMar>
            <w:vAlign w:val="center"/>
          </w:tcPr>
          <w:p>
            <w:pPr>
              <w:spacing w:after="40"/>
            </w:pPr>
            <w:r>
              <w:rPr>
                <w:b/>
                <w:bCs/>
                <w:color w:val="1F3864"/>
                <w:sz w:val="20"/>
                <w:szCs w:val="20"/>
              </w:rPr>
              <w:t xml:space="preserve">Reputational</w:t>
            </w:r>
          </w:p>
        </w:tc>
        <w:tc>
          <w:tcPr>
            <w:tcW w:type="dxa" w:w="7400"/>
            <w:tcMar>
              <w:top w:type="dxa" w:w="100"/>
              <w:left w:type="dxa" w:w="120"/>
              <w:bottom w:type="dxa" w:w="100"/>
              <w:right w:type="dxa" w:w="120"/>
            </w:tcMar>
            <w:vAlign w:val="center"/>
          </w:tcPr>
          <w:p>
            <w:pPr>
              <w:spacing w:after="40"/>
            </w:pPr>
            <w:r>
              <w:rPr>
                <w:sz w:val="20"/>
                <w:szCs w:val="20"/>
              </w:rPr>
              <w:t xml:space="preserve">Public reports of fraudulent purchases erode customer trust in a marketplace whose entire value proposition depends on it; negative press and social media coverage can suppress new customer acquisition long after the technical issue is fixed.</w:t>
            </w:r>
          </w:p>
        </w:tc>
      </w:tr>
    </w:tbl>
    <w:p>
      <w:pPr>
        <w:spacing w:before="160"/>
      </w:pPr>
    </w:p>
    <w:p>
      <w:pPr>
        <w:pStyle w:val="Heading1"/>
        <w:pBdr>
          <w:bottom w:val="single" w:color="1F3864" w:sz="6" w:space="4"/>
        </w:pBdr>
        <w:spacing w:after="160" w:before="360"/>
      </w:pPr>
      <w:r>
        <w:rPr>
          <w:b/>
          <w:bCs/>
          <w:color w:val="1F3864"/>
        </w:rPr>
        <w:t xml:space="preserve">7. Concept Map: Risk → Vulnerability → DevSecOps Practice → Business Benefit</w:t>
      </w:r>
    </w:p>
    <w:p>
      <w:pPr>
        <w:spacing w:after="140" w:line="300"/>
      </w:pPr>
      <w:r>
        <w:t xml:space="preserve">The chain below traces each identified risk through to the specific vulnerability that creates it, the DevSecOps practice that remediates it, and the resulting business benefit — showing the direct line from technical fix to organisational value.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600"/>
        <w:gridCol w:w="2200"/>
      </w:tblGrid>
      <w:tr>
        <w:trPr>
          <w:tblHeader/>
        </w:trPr>
        <w:tc>
          <w:tcPr>
            <w:tcW w:type="dxa" w:w="2100"/>
            <w:shd w:fill="1F3864" w:val="clear"/>
            <w:tcMar>
              <w:top w:type="dxa" w:w="100"/>
              <w:left w:type="dxa" w:w="120"/>
              <w:bottom w:type="dxa" w:w="100"/>
              <w:right w:type="dxa" w:w="120"/>
            </w:tcMar>
            <w:vAlign w:val="center"/>
          </w:tcPr>
          <w:p>
            <w:r>
              <w:rPr>
                <w:b/>
                <w:bCs/>
                <w:color w:val="FFFFFF"/>
                <w:sz w:val="20"/>
                <w:szCs w:val="20"/>
              </w:rPr>
              <w:t xml:space="preserve">Risk</w:t>
            </w:r>
          </w:p>
        </w:tc>
        <w:tc>
          <w:tcPr>
            <w:tcW w:type="dxa" w:w="2400"/>
            <w:shd w:fill="1F3864" w:val="clear"/>
            <w:tcMar>
              <w:top w:type="dxa" w:w="100"/>
              <w:left w:type="dxa" w:w="120"/>
              <w:bottom w:type="dxa" w:w="100"/>
              <w:right w:type="dxa" w:w="120"/>
            </w:tcMar>
            <w:vAlign w:val="center"/>
          </w:tcPr>
          <w:p>
            <w:r>
              <w:rPr>
                <w:b/>
                <w:bCs/>
                <w:color w:val="FFFFFF"/>
                <w:sz w:val="20"/>
                <w:szCs w:val="20"/>
              </w:rPr>
              <w:t xml:space="preserve">Vulnerability</w:t>
            </w:r>
          </w:p>
        </w:tc>
        <w:tc>
          <w:tcPr>
            <w:tcW w:type="dxa" w:w="2600"/>
            <w:shd w:fill="1F3864" w:val="clear"/>
            <w:tcMar>
              <w:top w:type="dxa" w:w="100"/>
              <w:left w:type="dxa" w:w="120"/>
              <w:bottom w:type="dxa" w:w="100"/>
              <w:right w:type="dxa" w:w="120"/>
            </w:tcMar>
            <w:vAlign w:val="center"/>
          </w:tcPr>
          <w:p>
            <w:r>
              <w:rPr>
                <w:b/>
                <w:bCs/>
                <w:color w:val="FFFFFF"/>
                <w:sz w:val="20"/>
                <w:szCs w:val="20"/>
              </w:rPr>
              <w:t xml:space="preserve">DevSecOps Practice</w:t>
            </w:r>
          </w:p>
        </w:tc>
        <w:tc>
          <w:tcPr>
            <w:tcW w:type="dxa" w:w="2200"/>
            <w:shd w:fill="1F3864" w:val="clear"/>
            <w:tcMar>
              <w:top w:type="dxa" w:w="100"/>
              <w:left w:type="dxa" w:w="120"/>
              <w:bottom w:type="dxa" w:w="100"/>
              <w:right w:type="dxa" w:w="120"/>
            </w:tcMar>
            <w:vAlign w:val="center"/>
          </w:tcPr>
          <w:p>
            <w:r>
              <w:rPr>
                <w:b/>
                <w:bCs/>
                <w:color w:val="FFFFFF"/>
                <w:sz w:val="20"/>
                <w:szCs w:val="20"/>
              </w:rPr>
              <w:t xml:space="preserve">Business Benefit</w:t>
            </w:r>
          </w:p>
        </w:tc>
      </w:tr>
      <w:tr>
        <w:tc>
          <w:tcPr>
            <w:tcW w:type="dxa" w:w="2100"/>
            <w:shd w:fill="FBE2E2" w:val="clear"/>
            <w:tcMar>
              <w:top w:type="dxa" w:w="100"/>
              <w:left w:type="dxa" w:w="120"/>
              <w:bottom w:type="dxa" w:w="100"/>
              <w:right w:type="dxa" w:w="120"/>
            </w:tcMar>
            <w:vAlign w:val="center"/>
          </w:tcPr>
          <w:p>
            <w:pPr>
              <w:spacing w:after="40"/>
            </w:pPr>
            <w:r>
              <w:rPr>
                <w:sz w:val="20"/>
                <w:szCs w:val="20"/>
              </w:rPr>
              <w:t xml:space="preserve">No MFA / weak authentication</w:t>
            </w:r>
          </w:p>
        </w:tc>
        <w:tc>
          <w:tcPr>
            <w:tcW w:type="dxa" w:w="2400"/>
            <w:shd w:fill="FDF0DC" w:val="clear"/>
            <w:tcMar>
              <w:top w:type="dxa" w:w="100"/>
              <w:left w:type="dxa" w:w="120"/>
              <w:bottom w:type="dxa" w:w="100"/>
              <w:right w:type="dxa" w:w="120"/>
            </w:tcMar>
            <w:vAlign w:val="center"/>
          </w:tcPr>
          <w:p>
            <w:pPr>
              <w:spacing w:after="40"/>
            </w:pPr>
            <w:r>
              <w:rPr>
                <w:sz w:val="20"/>
                <w:szCs w:val="20"/>
              </w:rPr>
              <w:t xml:space="preserve">Account takeover via credential stuffing</w:t>
            </w:r>
          </w:p>
        </w:tc>
        <w:tc>
          <w:tcPr>
            <w:tcW w:type="dxa" w:w="2600"/>
            <w:shd w:fill="DCE6F1" w:val="clear"/>
            <w:tcMar>
              <w:top w:type="dxa" w:w="100"/>
              <w:left w:type="dxa" w:w="120"/>
              <w:bottom w:type="dxa" w:w="100"/>
              <w:right w:type="dxa" w:w="120"/>
            </w:tcMar>
            <w:vAlign w:val="center"/>
          </w:tcPr>
          <w:p>
            <w:pPr>
              <w:spacing w:after="40"/>
            </w:pPr>
            <w:r>
              <w:rPr>
                <w:sz w:val="20"/>
                <w:szCs w:val="20"/>
              </w:rPr>
              <w:t xml:space="preserve">Enforce MFA + strong authentication (OWASP ASVS)</w:t>
            </w:r>
          </w:p>
        </w:tc>
        <w:tc>
          <w:tcPr>
            <w:tcW w:type="dxa" w:w="2200"/>
            <w:shd w:fill="E5F0E0" w:val="clear"/>
            <w:tcMar>
              <w:top w:type="dxa" w:w="100"/>
              <w:left w:type="dxa" w:w="120"/>
              <w:bottom w:type="dxa" w:w="100"/>
              <w:right w:type="dxa" w:w="120"/>
            </w:tcMar>
            <w:vAlign w:val="center"/>
          </w:tcPr>
          <w:p>
            <w:pPr>
              <w:spacing w:after="40"/>
            </w:pPr>
            <w:r>
              <w:rPr>
                <w:sz w:val="20"/>
                <w:szCs w:val="20"/>
              </w:rPr>
              <w:t xml:space="preserve">Reduced fraud losses; restored customer trust</w:t>
            </w:r>
          </w:p>
        </w:tc>
      </w:tr>
      <w:tr>
        <w:tc>
          <w:tcPr>
            <w:tcW w:type="dxa" w:w="2100"/>
            <w:tcMar>
              <w:top w:type="dxa" w:w="100"/>
              <w:left w:type="dxa" w:w="120"/>
              <w:bottom w:type="dxa" w:w="100"/>
              <w:right w:type="dxa" w:w="120"/>
            </w:tcMar>
            <w:vAlign w:val="center"/>
          </w:tcPr>
          <w:p>
            <w:pPr>
              <w:spacing w:after="40"/>
            </w:pPr>
            <w:r>
              <w:rPr>
                <w:sz w:val="20"/>
                <w:szCs w:val="20"/>
              </w:rPr>
              <w:t xml:space="preserve">Weak session handling</w:t>
            </w:r>
          </w:p>
        </w:tc>
        <w:tc>
          <w:tcPr>
            <w:tcW w:type="dxa" w:w="2400"/>
            <w:tcMar>
              <w:top w:type="dxa" w:w="100"/>
              <w:left w:type="dxa" w:w="120"/>
              <w:bottom w:type="dxa" w:w="100"/>
              <w:right w:type="dxa" w:w="120"/>
            </w:tcMar>
            <w:vAlign w:val="center"/>
          </w:tcPr>
          <w:p>
            <w:pPr>
              <w:spacing w:after="40"/>
            </w:pPr>
            <w:r>
              <w:rPr>
                <w:sz w:val="20"/>
                <w:szCs w:val="20"/>
              </w:rPr>
              <w:t xml:space="preserve">Session hijacking / fixation</w:t>
            </w:r>
          </w:p>
        </w:tc>
        <w:tc>
          <w:tcPr>
            <w:tcW w:type="dxa" w:w="2600"/>
            <w:tcMar>
              <w:top w:type="dxa" w:w="100"/>
              <w:left w:type="dxa" w:w="120"/>
              <w:bottom w:type="dxa" w:w="100"/>
              <w:right w:type="dxa" w:w="120"/>
            </w:tcMar>
            <w:vAlign w:val="center"/>
          </w:tcPr>
          <w:p>
            <w:pPr>
              <w:spacing w:after="40"/>
            </w:pPr>
            <w:r>
              <w:rPr>
                <w:sz w:val="20"/>
                <w:szCs w:val="20"/>
              </w:rPr>
              <w:t xml:space="preserve">Secure session management (secure cookies, session regeneration, timeouts)</w:t>
            </w:r>
          </w:p>
        </w:tc>
        <w:tc>
          <w:tcPr>
            <w:tcW w:type="dxa" w:w="2200"/>
            <w:tcMar>
              <w:top w:type="dxa" w:w="100"/>
              <w:left w:type="dxa" w:w="120"/>
              <w:bottom w:type="dxa" w:w="100"/>
              <w:right w:type="dxa" w:w="120"/>
            </w:tcMar>
            <w:vAlign w:val="center"/>
          </w:tcPr>
          <w:p>
            <w:pPr>
              <w:spacing w:after="40"/>
            </w:pPr>
            <w:r>
              <w:rPr>
                <w:sz w:val="20"/>
                <w:szCs w:val="20"/>
              </w:rPr>
              <w:t xml:space="preserve">Fewer unauthorised transactions; lower chargeback &amp; fraud costs</w:t>
            </w:r>
          </w:p>
        </w:tc>
      </w:tr>
      <w:tr>
        <w:tc>
          <w:tcPr>
            <w:tcW w:type="dxa" w:w="2100"/>
            <w:shd w:fill="FBE2E2" w:val="clear"/>
            <w:tcMar>
              <w:top w:type="dxa" w:w="100"/>
              <w:left w:type="dxa" w:w="120"/>
              <w:bottom w:type="dxa" w:w="100"/>
              <w:right w:type="dxa" w:w="120"/>
            </w:tcMar>
            <w:vAlign w:val="center"/>
          </w:tcPr>
          <w:p>
            <w:pPr>
              <w:spacing w:after="40"/>
            </w:pPr>
            <w:r>
              <w:rPr>
                <w:sz w:val="20"/>
                <w:szCs w:val="20"/>
              </w:rPr>
              <w:t xml:space="preserve">No input validation / no code review</w:t>
            </w:r>
          </w:p>
        </w:tc>
        <w:tc>
          <w:tcPr>
            <w:tcW w:type="dxa" w:w="2400"/>
            <w:shd w:fill="FDF0DC" w:val="clear"/>
            <w:tcMar>
              <w:top w:type="dxa" w:w="100"/>
              <w:left w:type="dxa" w:w="120"/>
              <w:bottom w:type="dxa" w:w="100"/>
              <w:right w:type="dxa" w:w="120"/>
            </w:tcMar>
            <w:vAlign w:val="center"/>
          </w:tcPr>
          <w:p>
            <w:pPr>
              <w:spacing w:after="40"/>
            </w:pPr>
            <w:r>
              <w:rPr>
                <w:sz w:val="20"/>
                <w:szCs w:val="20"/>
              </w:rPr>
              <w:t xml:space="preserve">SQL Injection &amp; XSS exposure</w:t>
            </w:r>
          </w:p>
        </w:tc>
        <w:tc>
          <w:tcPr>
            <w:tcW w:type="dxa" w:w="2600"/>
            <w:shd w:fill="DCE6F1" w:val="clear"/>
            <w:tcMar>
              <w:top w:type="dxa" w:w="100"/>
              <w:left w:type="dxa" w:w="120"/>
              <w:bottom w:type="dxa" w:w="100"/>
              <w:right w:type="dxa" w:w="120"/>
            </w:tcMar>
            <w:vAlign w:val="center"/>
          </w:tcPr>
          <w:p>
            <w:pPr>
              <w:spacing w:after="40"/>
            </w:pPr>
            <w:r>
              <w:rPr>
                <w:sz w:val="20"/>
                <w:szCs w:val="20"/>
              </w:rPr>
              <w:t xml:space="preserve">Secure coding standards + mandatory peer review + SAST</w:t>
            </w:r>
          </w:p>
        </w:tc>
        <w:tc>
          <w:tcPr>
            <w:tcW w:type="dxa" w:w="2200"/>
            <w:shd w:fill="E5F0E0" w:val="clear"/>
            <w:tcMar>
              <w:top w:type="dxa" w:w="100"/>
              <w:left w:type="dxa" w:w="120"/>
              <w:bottom w:type="dxa" w:w="100"/>
              <w:right w:type="dxa" w:w="120"/>
            </w:tcMar>
            <w:vAlign w:val="center"/>
          </w:tcPr>
          <w:p>
            <w:pPr>
              <w:spacing w:after="40"/>
            </w:pPr>
            <w:r>
              <w:rPr>
                <w:sz w:val="20"/>
                <w:szCs w:val="20"/>
              </w:rPr>
              <w:t xml:space="preserve">Protected customer data; avoids breach-notification and legal costs</w:t>
            </w:r>
          </w:p>
        </w:tc>
      </w:tr>
      <w:tr>
        <w:tc>
          <w:tcPr>
            <w:tcW w:type="dxa" w:w="2100"/>
            <w:tcMar>
              <w:top w:type="dxa" w:w="100"/>
              <w:left w:type="dxa" w:w="120"/>
              <w:bottom w:type="dxa" w:w="100"/>
              <w:right w:type="dxa" w:w="120"/>
            </w:tcMar>
            <w:vAlign w:val="center"/>
          </w:tcPr>
          <w:p>
            <w:pPr>
              <w:spacing w:after="40"/>
            </w:pPr>
            <w:r>
              <w:rPr>
                <w:sz w:val="20"/>
                <w:szCs w:val="20"/>
              </w:rPr>
              <w:t xml:space="preserve">Unvetted third-party payment integrations</w:t>
            </w:r>
          </w:p>
        </w:tc>
        <w:tc>
          <w:tcPr>
            <w:tcW w:type="dxa" w:w="2400"/>
            <w:tcMar>
              <w:top w:type="dxa" w:w="100"/>
              <w:left w:type="dxa" w:w="120"/>
              <w:bottom w:type="dxa" w:w="100"/>
              <w:right w:type="dxa" w:w="120"/>
            </w:tcMar>
            <w:vAlign w:val="center"/>
          </w:tcPr>
          <w:p>
            <w:pPr>
              <w:spacing w:after="40"/>
            </w:pPr>
            <w:r>
              <w:rPr>
                <w:sz w:val="20"/>
                <w:szCs w:val="20"/>
              </w:rPr>
              <w:t xml:space="preserve">Payment data interception / supply-chain compromise</w:t>
            </w:r>
          </w:p>
        </w:tc>
        <w:tc>
          <w:tcPr>
            <w:tcW w:type="dxa" w:w="2600"/>
            <w:tcMar>
              <w:top w:type="dxa" w:w="100"/>
              <w:left w:type="dxa" w:w="120"/>
              <w:bottom w:type="dxa" w:w="100"/>
              <w:right w:type="dxa" w:w="120"/>
            </w:tcMar>
            <w:vAlign w:val="center"/>
          </w:tcPr>
          <w:p>
            <w:pPr>
              <w:spacing w:after="40"/>
            </w:pPr>
            <w:r>
              <w:rPr>
                <w:sz w:val="20"/>
                <w:szCs w:val="20"/>
              </w:rPr>
              <w:t xml:space="preserve">SCA / dependency scanning + vendor security assessment</w:t>
            </w:r>
          </w:p>
        </w:tc>
        <w:tc>
          <w:tcPr>
            <w:tcW w:type="dxa" w:w="2200"/>
            <w:tcMar>
              <w:top w:type="dxa" w:w="100"/>
              <w:left w:type="dxa" w:w="120"/>
              <w:bottom w:type="dxa" w:w="100"/>
              <w:right w:type="dxa" w:w="120"/>
            </w:tcMar>
            <w:vAlign w:val="center"/>
          </w:tcPr>
          <w:p>
            <w:pPr>
              <w:spacing w:after="40"/>
            </w:pPr>
            <w:r>
              <w:rPr>
                <w:sz w:val="20"/>
                <w:szCs w:val="20"/>
              </w:rPr>
              <w:t xml:space="preserve">PCI DSS compliance maintained; safeguarded payment revenue</w:t>
            </w:r>
          </w:p>
        </w:tc>
      </w:tr>
      <w:tr>
        <w:tc>
          <w:tcPr>
            <w:tcW w:type="dxa" w:w="2100"/>
            <w:shd w:fill="FBE2E2" w:val="clear"/>
            <w:tcMar>
              <w:top w:type="dxa" w:w="100"/>
              <w:left w:type="dxa" w:w="120"/>
              <w:bottom w:type="dxa" w:w="100"/>
              <w:right w:type="dxa" w:w="120"/>
            </w:tcMar>
            <w:vAlign w:val="center"/>
          </w:tcPr>
          <w:p>
            <w:pPr>
              <w:spacing w:after="40"/>
            </w:pPr>
            <w:r>
              <w:rPr>
                <w:sz w:val="20"/>
                <w:szCs w:val="20"/>
              </w:rPr>
              <w:t xml:space="preserve">Reactive-only security testing</w:t>
            </w:r>
          </w:p>
        </w:tc>
        <w:tc>
          <w:tcPr>
            <w:tcW w:type="dxa" w:w="2400"/>
            <w:shd w:fill="FDF0DC" w:val="clear"/>
            <w:tcMar>
              <w:top w:type="dxa" w:w="100"/>
              <w:left w:type="dxa" w:w="120"/>
              <w:bottom w:type="dxa" w:w="100"/>
              <w:right w:type="dxa" w:w="120"/>
            </w:tcMar>
            <w:vAlign w:val="center"/>
          </w:tcPr>
          <w:p>
            <w:pPr>
              <w:spacing w:after="40"/>
            </w:pPr>
            <w:r>
              <w:rPr>
                <w:sz w:val="20"/>
                <w:szCs w:val="20"/>
              </w:rPr>
              <w:t xml:space="preserve">Delayed detection, larger breach impact</w:t>
            </w:r>
          </w:p>
        </w:tc>
        <w:tc>
          <w:tcPr>
            <w:tcW w:type="dxa" w:w="2600"/>
            <w:shd w:fill="DCE6F1" w:val="clear"/>
            <w:tcMar>
              <w:top w:type="dxa" w:w="100"/>
              <w:left w:type="dxa" w:w="120"/>
              <w:bottom w:type="dxa" w:w="100"/>
              <w:right w:type="dxa" w:w="120"/>
            </w:tcMar>
            <w:vAlign w:val="center"/>
          </w:tcPr>
          <w:p>
            <w:pPr>
              <w:spacing w:after="40"/>
            </w:pPr>
            <w:r>
              <w:rPr>
                <w:sz w:val="20"/>
                <w:szCs w:val="20"/>
              </w:rPr>
              <w:t xml:space="preserve">Automated DAST in CI/CD before every release</w:t>
            </w:r>
          </w:p>
        </w:tc>
        <w:tc>
          <w:tcPr>
            <w:tcW w:type="dxa" w:w="2200"/>
            <w:shd w:fill="E5F0E0" w:val="clear"/>
            <w:tcMar>
              <w:top w:type="dxa" w:w="100"/>
              <w:left w:type="dxa" w:w="120"/>
              <w:bottom w:type="dxa" w:w="100"/>
              <w:right w:type="dxa" w:w="120"/>
            </w:tcMar>
            <w:vAlign w:val="center"/>
          </w:tcPr>
          <w:p>
            <w:pPr>
              <w:spacing w:after="40"/>
            </w:pPr>
            <w:r>
              <w:rPr>
                <w:sz w:val="20"/>
                <w:szCs w:val="20"/>
              </w:rPr>
              <w:t xml:space="preserve">Faster, cheaper remediation; reduced operational disruption</w:t>
            </w:r>
          </w:p>
        </w:tc>
      </w:tr>
    </w:tbl>
    <w:p>
      <w:pPr>
        <w:spacing w:before="160"/>
      </w:pPr>
    </w:p>
    <w:p>
      <w:pPr>
        <w:spacing w:after="140" w:line="300"/>
      </w:pPr>
      <w:r>
        <w:rPr>
          <w:i/>
          <w:iCs/>
          <w:sz w:val="20"/>
          <w:szCs w:val="20"/>
        </w:rPr>
        <w:t xml:space="preserve">Read as a flow: Risk  →  Vulnerability  →  DevSecOps Practice  →  Business Benefit, e.g. "Account takeover" is enabled by "no MFA," is closed by "enforcing MFA," and delivers "reduced fraud losses and restored customer trust."</w:t>
      </w:r>
    </w:p>
    <w:p>
      <w:pPr>
        <w:pStyle w:val="Heading1"/>
        <w:pBdr>
          <w:bottom w:val="single" w:color="1F3864" w:sz="6" w:space="4"/>
        </w:pBdr>
        <w:spacing w:after="160" w:before="360"/>
      </w:pPr>
      <w:r>
        <w:rPr>
          <w:b/>
          <w:bCs/>
          <w:color w:val="1F3864"/>
        </w:rPr>
        <w:t xml:space="preserve">8. Conclusion &amp; Next Steps</w:t>
      </w:r>
    </w:p>
    <w:p>
      <w:pPr>
        <w:spacing w:after="140" w:line="300"/>
      </w:pPr>
      <w:r>
        <w:t xml:space="preserve">ShopNow's fraud and account-security incidents are not isolated bugs — they are the predictable outcome of a development process optimised for speed with no security checkpoints. Adopting a DevSecOps model, anchored in the five OWASP-aligned practices recommended in this report, will let ShopNow keep its rapid release cadence while closing the authentication, session-handling and injection weaknesses that are currently exposing customers and the business to fraud.</w:t>
      </w:r>
    </w:p>
    <w:p>
      <w:pPr>
        <w:spacing w:after="140" w:line="300"/>
      </w:pPr>
      <w:r>
        <w:t xml:space="preserve">Team E recommends ShopNow prioritise MFA and secure session management as immediate, high-impact fixes, then embed mandatory code review and automated SAST/DAST/SCA scanning into the CI/CD pipeline as the sustainable long-term control.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ShopNow DevSecOps Risk Assessment — Team 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2026-07-27T03:30:20.102Z</dcterms:created>
  <dcterms:modified xsi:type="dcterms:W3CDTF">2026-07-27T03:30:20.122Z</dcterms:modified>
</cp:coreProperties>
</file>

<file path=docProps/custom.xml><?xml version="1.0" encoding="utf-8"?>
<Properties xmlns="http://schemas.openxmlformats.org/officeDocument/2006/custom-properties" xmlns:vt="http://schemas.openxmlformats.org/officeDocument/2006/docPropsVTypes"/>
</file>