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Gènes candidats — Tolérance à la sécheresse / stress hydrique chez maize</w:t>
      </w:r>
    </w:p>
    <w:p>
      <w:r>
        <w:rPr>
          <w:i/>
        </w:rPr>
        <w:t>Rapport généré automatiquement par Plant Gene Analyzer. 42 candidats trouvés, top 15 affichés.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Gène</w:t>
            </w:r>
          </w:p>
        </w:tc>
        <w:tc>
          <w:tcPr>
            <w:tcW w:type="dxa" w:w="1728"/>
          </w:tcPr>
          <w:p>
            <w:r>
              <w:t>Accession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Catégories</w:t>
            </w:r>
          </w:p>
        </w:tc>
        <w:tc>
          <w:tcPr>
            <w:tcW w:type="dxa" w:w="1728"/>
          </w:tcPr>
          <w:p>
            <w:r>
              <w:t>Référence(s)</w:t>
            </w:r>
          </w:p>
        </w:tc>
      </w:tr>
      <w:tr>
        <w:tc>
          <w:tcPr>
            <w:tcW w:type="dxa" w:w="1728"/>
          </w:tcPr>
          <w:p>
            <w:r>
              <w:t>Zm00001e014008</w:t>
            </w:r>
          </w:p>
        </w:tc>
        <w:tc>
          <w:tcPr>
            <w:tcW w:type="dxa" w:w="1728"/>
          </w:tcPr>
          <w:p>
            <w:r>
              <w:t>B6T5Z6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reponse_osmotique, signalisation_aba</w:t>
            </w:r>
          </w:p>
        </w:tc>
        <w:tc>
          <w:tcPr>
            <w:tcW w:type="dxa" w:w="1728"/>
          </w:tcPr>
          <w:p>
            <w:r>
              <w:t>Transcriptomic insights into drought response in wild Arachis relatives A. dardani and A. ipaënsis. (2025) — https://pubmed.ncbi.nlm.nih.gov/41402771/</w:t>
              <w:br/>
              <w:t>Structure and character analysis of cotton response regulator genes family reveals that GhRR7 responses to draught stress. (2022) — https://pubmed.ncbi.nlm.nih.gov/35974357/</w:t>
              <w:br/>
              <w:t>Multiple responses contribute to the enhanced drought tolerance of the autotetraploid Ziziphus jujuba Mill. var. spinosa. (2021) — https://pubmed.ncbi.nlm.nih.gov/34193297/</w:t>
            </w:r>
          </w:p>
        </w:tc>
      </w:tr>
      <w:tr>
        <w:tc>
          <w:tcPr>
            <w:tcW w:type="dxa" w:w="1728"/>
          </w:tcPr>
          <w:p>
            <w:r>
              <w:t>P41979</w:t>
            </w:r>
          </w:p>
        </w:tc>
        <w:tc>
          <w:tcPr>
            <w:tcW w:type="dxa" w:w="1728"/>
          </w:tcPr>
          <w:p>
            <w:r>
              <w:t>P41979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reponse_osmotique, signalisation_aba</w:t>
            </w:r>
          </w:p>
        </w:tc>
        <w:tc>
          <w:tcPr>
            <w:tcW w:type="dxa" w:w="1728"/>
          </w:tcPr>
          <w:p>
            <w:r>
              <w:t>Transcriptomic response of the wild plant Mesembryanthemum forsskalii Hochst. ex Boiss to salinity stress: de novo assembly, functional annotation, and transcription factor profiling. (2026) — https://pubmed.ncbi.nlm.nih.gov/42376256/</w:t>
            </w:r>
          </w:p>
        </w:tc>
      </w:tr>
      <w:tr>
        <w:tc>
          <w:tcPr>
            <w:tcW w:type="dxa" w:w="1728"/>
          </w:tcPr>
          <w:p>
            <w:r>
              <w:t>P41978</w:t>
            </w:r>
          </w:p>
        </w:tc>
        <w:tc>
          <w:tcPr>
            <w:tcW w:type="dxa" w:w="1728"/>
          </w:tcPr>
          <w:p>
            <w:r>
              <w:t>P41978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reponse_osmotique, signalisation_aba</w:t>
            </w:r>
          </w:p>
        </w:tc>
        <w:tc>
          <w:tcPr>
            <w:tcW w:type="dxa" w:w="1728"/>
          </w:tcPr>
          <w:p>
            <w:r>
              <w:t>Transcriptomic response of the wild plant Mesembryanthemum forsskalii Hochst. ex Boiss to salinity stress: de novo assembly, functional annotation, and transcription factor profiling. (2026) — https://pubmed.ncbi.nlm.nih.gov/42376256/</w:t>
            </w:r>
          </w:p>
        </w:tc>
      </w:tr>
      <w:tr>
        <w:tc>
          <w:tcPr>
            <w:tcW w:type="dxa" w:w="1728"/>
          </w:tcPr>
          <w:p>
            <w:r>
              <w:t>P41980</w:t>
            </w:r>
          </w:p>
        </w:tc>
        <w:tc>
          <w:tcPr>
            <w:tcW w:type="dxa" w:w="1728"/>
          </w:tcPr>
          <w:p>
            <w:r>
              <w:t>P41980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reponse_osmotique, signalisation_aba</w:t>
            </w:r>
          </w:p>
        </w:tc>
        <w:tc>
          <w:tcPr>
            <w:tcW w:type="dxa" w:w="1728"/>
          </w:tcPr>
          <w:p>
            <w:r>
              <w:t>Transcriptomic response of the wild plant Mesembryanthemum forsskalii Hochst. ex Boiss to salinity stress: de novo assembly, functional annotation, and transcription factor profiling. (2026) — https://pubmed.ncbi.nlm.nih.gov/42376256/</w:t>
            </w:r>
          </w:p>
        </w:tc>
      </w:tr>
      <w:tr>
        <w:tc>
          <w:tcPr>
            <w:tcW w:type="dxa" w:w="1728"/>
          </w:tcPr>
          <w:p>
            <w:r>
              <w:t>P18122</w:t>
            </w:r>
          </w:p>
        </w:tc>
        <w:tc>
          <w:tcPr>
            <w:tcW w:type="dxa" w:w="1728"/>
          </w:tcPr>
          <w:p>
            <w:r>
              <w:t>P18122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Integrative functional profiling of rhizospheric and endophytic bacteria reveals Lelliottia aquatilis as a multifunctional PGPR in Himalayan ecosystems. (2026) — https://pubmed.ncbi.nlm.nih.gov/42609303/</w:t>
              <w:br/>
              <w:t>Enhancement of Morpho-Physiological, Physiological, and Antioxidant Capacity of Saffron (Crocus sativus L.) Under Water Deficit Using ZnO Nanoparticles and Magnesium Sulfate: Implications for Saffron Yield. (2026) — https://pubmed.ncbi.nlm.nih.gov/42591712/</w:t>
              <w:br/>
              <w:t>Integrating plant growth-promoting rhizobacteria and machine learning for drought tolerance assessment in green bean (Phaseolus vulgaris L.). (2026) — https://pubmed.ncbi.nlm.nih.gov/42426613/</w:t>
            </w:r>
          </w:p>
        </w:tc>
      </w:tr>
      <w:tr>
        <w:tc>
          <w:tcPr>
            <w:tcW w:type="dxa" w:w="1728"/>
          </w:tcPr>
          <w:p>
            <w:r>
              <w:t>O24592</w:t>
            </w:r>
          </w:p>
        </w:tc>
        <w:tc>
          <w:tcPr>
            <w:tcW w:type="dxa" w:w="1728"/>
          </w:tcPr>
          <w:p>
            <w:r>
              <w:t>O24592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A stress-inducible gene for 9-cis-epoxycarotenoid dioxygenase involved in abscisic acid biosynthesis under water stress in drought-tolerant cowpea. (2000) — https://pubmed.ncbi.nlm.nih.gov/10859185/</w:t>
            </w:r>
          </w:p>
        </w:tc>
      </w:tr>
      <w:tr>
        <w:tc>
          <w:tcPr>
            <w:tcW w:type="dxa" w:w="1728"/>
          </w:tcPr>
          <w:p>
            <w:r>
              <w:t>Zm00001e005412</w:t>
            </w:r>
          </w:p>
        </w:tc>
        <w:tc>
          <w:tcPr>
            <w:tcW w:type="dxa" w:w="1728"/>
          </w:tcPr>
          <w:p>
            <w:r>
              <w:t>Q9ST48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Transcriptomic insights into drought response in wild Arachis relatives A. dardani and A. ipaënsis. (2025) — https://pubmed.ncbi.nlm.nih.gov/41402771/</w:t>
              <w:br/>
              <w:t>Structure and character analysis of cotton response regulator genes family reveals that GhRR7 responses to draught stress. (2022) — https://pubmed.ncbi.nlm.nih.gov/35974357/</w:t>
              <w:br/>
              <w:t>Multiple responses contribute to the enhanced drought tolerance of the autotetraploid Ziziphus jujuba Mill. var. spinosa. (2021) — https://pubmed.ncbi.nlm.nih.gov/34193297/</w:t>
            </w:r>
          </w:p>
        </w:tc>
      </w:tr>
      <w:tr>
        <w:tc>
          <w:tcPr>
            <w:tcW w:type="dxa" w:w="1728"/>
          </w:tcPr>
          <w:p>
            <w:r>
              <w:t>O23887</w:t>
            </w:r>
          </w:p>
        </w:tc>
        <w:tc>
          <w:tcPr>
            <w:tcW w:type="dxa" w:w="1728"/>
          </w:tcPr>
          <w:p>
            <w:r>
              <w:t>O23887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Non trouvée</w:t>
            </w:r>
          </w:p>
        </w:tc>
      </w:tr>
      <w:tr>
        <w:tc>
          <w:tcPr>
            <w:tcW w:type="dxa" w:w="1728"/>
          </w:tcPr>
          <w:p>
            <w:r>
              <w:t>Zm00001e004158</w:t>
            </w:r>
          </w:p>
        </w:tc>
        <w:tc>
          <w:tcPr>
            <w:tcW w:type="dxa" w:w="1728"/>
          </w:tcPr>
          <w:p>
            <w:r>
              <w:t>Q5GJ59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Transcriptomic analysis of methyl jasmonate treatment reveals gene networks involved in drought tolerance in pearl millet. (2022) — https://pubmed.ncbi.nlm.nih.gov/35338214/</w:t>
            </w:r>
          </w:p>
        </w:tc>
      </w:tr>
      <w:tr>
        <w:tc>
          <w:tcPr>
            <w:tcW w:type="dxa" w:w="1728"/>
          </w:tcPr>
          <w:p>
            <w:r>
              <w:t>O23888</w:t>
            </w:r>
          </w:p>
        </w:tc>
        <w:tc>
          <w:tcPr>
            <w:tcW w:type="dxa" w:w="1728"/>
          </w:tcPr>
          <w:p>
            <w:r>
              <w:t>O23888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Non trouvée</w:t>
            </w:r>
          </w:p>
        </w:tc>
      </w:tr>
      <w:tr>
        <w:tc>
          <w:tcPr>
            <w:tcW w:type="dxa" w:w="1728"/>
          </w:tcPr>
          <w:p>
            <w:r>
              <w:t>Zm00001e023457</w:t>
            </w:r>
          </w:p>
        </w:tc>
        <w:tc>
          <w:tcPr>
            <w:tcW w:type="dxa" w:w="1728"/>
          </w:tcPr>
          <w:p>
            <w:r>
              <w:t>B6TVL4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regulation_stomates</w:t>
            </w:r>
          </w:p>
        </w:tc>
        <w:tc>
          <w:tcPr>
            <w:tcW w:type="dxa" w:w="1728"/>
          </w:tcPr>
          <w:p>
            <w:r>
              <w:t>Non trouvée</w:t>
            </w:r>
          </w:p>
        </w:tc>
      </w:tr>
      <w:tr>
        <w:tc>
          <w:tcPr>
            <w:tcW w:type="dxa" w:w="1728"/>
          </w:tcPr>
          <w:p>
            <w:r>
              <w:t>Zm00001e031398</w:t>
            </w:r>
          </w:p>
        </w:tc>
        <w:tc>
          <w:tcPr>
            <w:tcW w:type="dxa" w:w="1728"/>
          </w:tcPr>
          <w:p>
            <w:r>
              <w:t>P12950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Genome-Wide Linkage Mapping of Root System Architecture-Related Traits Under Drought Stress in Common Wheat (Triticum aestivum L.). (2025) — https://pubmed.ncbi.nlm.nih.gov/41095165/</w:t>
              <w:br/>
              <w:t>Integrated transcriptomic and RNAi approaches uncover a key role for ApApoD1 in the desiccation tolerance of Acyrthosiphon pisum. (2025) — https://pubmed.ncbi.nlm.nih.gov/41084272/</w:t>
              <w:br/>
              <w:t>Genome-Wide Identification of the LEA Gene Family in Myricaria laxiflora and Its Responses to Abiotic Stress. (2025) — https://pubmed.ncbi.nlm.nih.gov/40725419/</w:t>
            </w:r>
          </w:p>
        </w:tc>
      </w:tr>
      <w:tr>
        <w:tc>
          <w:tcPr>
            <w:tcW w:type="dxa" w:w="1728"/>
          </w:tcPr>
          <w:p>
            <w:r>
              <w:t>P26307</w:t>
            </w:r>
          </w:p>
        </w:tc>
        <w:tc>
          <w:tcPr>
            <w:tcW w:type="dxa" w:w="1728"/>
          </w:tcPr>
          <w:p>
            <w:r>
              <w:t>P26307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Single Amino Acid Divergence Drives Functional Specialisation of Homologous GRFs in Populus. (2026) — https://pubmed.ncbi.nlm.nih.gov/42615334/</w:t>
              <w:br/>
              <w:t>A phosphorylation cascade involving ZmSnRK2.10-ZmRIPK2-ZmWRKY38 attenuates drought response by derepressing ZmSUS2 in maize. (2026) — https://pubmed.ncbi.nlm.nih.gov/42475581/</w:t>
              <w:br/>
              <w:t>Genome-wide association identifies and validates genomic region controlling grain yield and agronomic traits in extra-early orange maize inbred lines under drought. (2026) — https://pubmed.ncbi.nlm.nih.gov/42448753/</w:t>
            </w:r>
          </w:p>
        </w:tc>
      </w:tr>
      <w:tr>
        <w:tc>
          <w:tcPr>
            <w:tcW w:type="dxa" w:w="1728"/>
          </w:tcPr>
          <w:p>
            <w:r>
              <w:t>P46517</w:t>
            </w:r>
          </w:p>
        </w:tc>
        <w:tc>
          <w:tcPr>
            <w:tcW w:type="dxa" w:w="1728"/>
          </w:tcPr>
          <w:p>
            <w:r>
              <w:t>P46517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Unravelling drought stress adaptation in sugarcane interspecific hybrids: A multi-level analysis. (2025) — https://pubmed.ncbi.nlm.nih.gov/41385528/</w:t>
              <w:br/>
              <w:t>In silico expression analysis of germin-like protein genes from rice cultivar Nipponbare. (2025) — https://pubmed.ncbi.nlm.nih.gov/40844568/</w:t>
              <w:br/>
              <w:t>Overexpression of MEKK18 from Arabidopsis pumila in rice significantly enhances stress resistance at the early stage. (2025) — https://pubmed.ncbi.nlm.nih.gov/40561074/</w:t>
            </w:r>
          </w:p>
        </w:tc>
      </w:tr>
      <w:tr>
        <w:tc>
          <w:tcPr>
            <w:tcW w:type="dxa" w:w="1728"/>
          </w:tcPr>
          <w:p>
            <w:r>
              <w:t>A1XCI5</w:t>
            </w:r>
          </w:p>
        </w:tc>
        <w:tc>
          <w:tcPr>
            <w:tcW w:type="dxa" w:w="1728"/>
          </w:tcPr>
          <w:p>
            <w:r>
              <w:t>A1XCI5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signalisation_aba</w:t>
            </w:r>
          </w:p>
        </w:tc>
        <w:tc>
          <w:tcPr>
            <w:tcW w:type="dxa" w:w="1728"/>
          </w:tcPr>
          <w:p>
            <w:r>
              <w:t>Non trouvée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