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17B43">
      <w:pPr>
        <w:spacing w:before="1200"/>
        <w:jc w:val="center"/>
      </w:pPr>
      <w:r>
        <w:rPr>
          <w:rFonts w:ascii="Arial" w:hAnsi="Arial" w:eastAsia="Arial" w:cs="Arial"/>
          <w:color w:val="888888"/>
          <w:sz w:val="28"/>
          <w:szCs w:val="28"/>
        </w:rPr>
        <w:t>RAPPORT DE PROJET</w:t>
      </w:r>
    </w:p>
    <w:p w14:paraId="0404C637">
      <w:pPr>
        <w:spacing w:before="400"/>
        <w:jc w:val="center"/>
      </w:pPr>
      <w:r>
        <w:rPr>
          <w:rFonts w:ascii="Arial" w:hAnsi="Arial" w:eastAsia="Arial" w:cs="Arial"/>
          <w:b/>
          <w:bCs/>
          <w:color w:val="1F5C99"/>
          <w:sz w:val="48"/>
          <w:szCs w:val="48"/>
        </w:rPr>
        <w:t>Projet 1</w:t>
      </w:r>
    </w:p>
    <w:p w14:paraId="08688A07">
      <w:pPr>
        <w:spacing w:before="200"/>
        <w:jc w:val="center"/>
      </w:pPr>
      <w:r>
        <w:rPr>
          <w:rFonts w:ascii="Arial" w:hAnsi="Arial" w:eastAsia="Arial" w:cs="Arial"/>
          <w:b/>
          <w:bCs/>
          <w:color w:val="1F5C99"/>
          <w:sz w:val="40"/>
          <w:szCs w:val="40"/>
        </w:rPr>
        <w:t>Sécurisation des Données Sensibles</w:t>
      </w:r>
    </w:p>
    <w:p w14:paraId="730C04D2">
      <w:pPr>
        <w:spacing w:before="80"/>
        <w:jc w:val="center"/>
      </w:pPr>
      <w:r>
        <w:rPr>
          <w:rFonts w:ascii="Arial" w:hAnsi="Arial" w:eastAsia="Arial" w:cs="Arial"/>
          <w:b/>
          <w:bCs/>
          <w:color w:val="1F5C99"/>
          <w:sz w:val="40"/>
          <w:szCs w:val="40"/>
        </w:rPr>
        <w:t>d'une Application Santé</w:t>
      </w:r>
    </w:p>
    <w:p w14:paraId="3955DE4A">
      <w:pPr>
        <w:pBdr>
          <w:bottom w:val="single" w:color="2E75B6" w:sz="4" w:space="1"/>
        </w:pBdr>
        <w:spacing w:before="200" w:after="200"/>
      </w:pPr>
    </w:p>
    <w:p w14:paraId="5F675FBB">
      <w:pPr>
        <w:spacing w:before="200"/>
        <w:jc w:val="center"/>
      </w:pPr>
      <w:r>
        <w:rPr>
          <w:rFonts w:ascii="Arial" w:hAnsi="Arial" w:eastAsia="Arial" w:cs="Arial"/>
          <w:i/>
          <w:iCs/>
          <w:color w:val="555555"/>
          <w:sz w:val="24"/>
          <w:szCs w:val="24"/>
        </w:rPr>
        <w:t>Identification, Classification et Sécurisation des Données Sensibles</w:t>
      </w:r>
    </w:p>
    <w:p w14:paraId="64A80633">
      <w:pPr>
        <w:spacing w:before="600"/>
        <w:jc w:val="center"/>
      </w:pPr>
      <w:r>
        <w:rPr>
          <w:rFonts w:ascii="Arial" w:hAnsi="Arial" w:eastAsia="Arial" w:cs="Arial"/>
          <w:color w:val="666666"/>
          <w:sz w:val="22"/>
          <w:szCs w:val="22"/>
        </w:rPr>
        <w:t>Année universitaire 2025–2026</w:t>
      </w:r>
    </w:p>
    <w:p w14:paraId="32BDE87C">
      <w:r>
        <w:br w:type="page"/>
      </w:r>
    </w:p>
    <w:p w14:paraId="3ED0B7BB">
      <w:pPr>
        <w:pStyle w:val="2"/>
        <w:spacing w:before="400" w:after="200"/>
      </w:pPr>
      <w:r>
        <w:rPr>
          <w:rFonts w:ascii="Arial" w:hAnsi="Arial" w:eastAsia="Arial" w:cs="Arial"/>
          <w:b/>
          <w:bCs/>
          <w:color w:val="1F5C99"/>
          <w:sz w:val="32"/>
          <w:szCs w:val="32"/>
        </w:rPr>
        <w:t>Table des matières</w:t>
      </w:r>
    </w:p>
    <w:p w14:paraId="5A3B157C">
      <w:pPr>
        <w:spacing w:before="100" w:after="100"/>
      </w:pPr>
      <w:r>
        <w:rPr>
          <w:rFonts w:ascii="Arial" w:hAnsi="Arial" w:eastAsia="Arial" w:cs="Arial"/>
          <w:sz w:val="22"/>
          <w:szCs w:val="22"/>
        </w:rPr>
        <w:t>1. Introduction et contexte</w:t>
      </w:r>
    </w:p>
    <w:p w14:paraId="5F04BBBA">
      <w:pPr>
        <w:spacing w:before="100" w:after="100"/>
      </w:pPr>
      <w:r>
        <w:rPr>
          <w:rFonts w:ascii="Arial" w:hAnsi="Arial" w:eastAsia="Arial" w:cs="Arial"/>
          <w:sz w:val="22"/>
          <w:szCs w:val="22"/>
        </w:rPr>
        <w:t>2. Identification des données sensibles</w:t>
      </w:r>
    </w:p>
    <w:p w14:paraId="6318803D">
      <w:pPr>
        <w:spacing w:before="100" w:after="100"/>
      </w:pPr>
      <w:r>
        <w:rPr>
          <w:rFonts w:ascii="Arial" w:hAnsi="Arial" w:eastAsia="Arial" w:cs="Arial"/>
          <w:sz w:val="22"/>
          <w:szCs w:val="22"/>
        </w:rPr>
        <w:t>3. Classification des données</w:t>
      </w:r>
    </w:p>
    <w:p w14:paraId="799AD939">
      <w:pPr>
        <w:spacing w:before="100" w:after="100"/>
      </w:pPr>
      <w:r>
        <w:rPr>
          <w:rFonts w:ascii="Arial" w:hAnsi="Arial" w:eastAsia="Arial" w:cs="Arial"/>
          <w:sz w:val="22"/>
          <w:szCs w:val="22"/>
        </w:rPr>
        <w:t>4. Cadre réglementaire (RGPD, HDS)</w:t>
      </w:r>
    </w:p>
    <w:p w14:paraId="1552754E">
      <w:pPr>
        <w:spacing w:before="100" w:after="100"/>
      </w:pPr>
      <w:r>
        <w:rPr>
          <w:rFonts w:ascii="Arial" w:hAnsi="Arial" w:eastAsia="Arial" w:cs="Arial"/>
          <w:sz w:val="22"/>
          <w:szCs w:val="22"/>
        </w:rPr>
        <w:t>5. Exigences de sécurité</w:t>
      </w:r>
    </w:p>
    <w:p w14:paraId="4C023DC7">
      <w:pPr>
        <w:spacing w:before="100" w:after="100"/>
      </w:pPr>
      <w:r>
        <w:rPr>
          <w:rFonts w:ascii="Arial" w:hAnsi="Arial" w:eastAsia="Arial" w:cs="Arial"/>
          <w:sz w:val="22"/>
          <w:szCs w:val="22"/>
        </w:rPr>
        <w:t>6. Architecture cible détaillée</w:t>
      </w:r>
    </w:p>
    <w:p w14:paraId="2C4CCE07">
      <w:pPr>
        <w:spacing w:before="100" w:after="100"/>
      </w:pPr>
      <w:r>
        <w:rPr>
          <w:rFonts w:ascii="Arial" w:hAnsi="Arial" w:eastAsia="Arial" w:cs="Arial"/>
          <w:sz w:val="22"/>
          <w:szCs w:val="22"/>
        </w:rPr>
        <w:t>7. Mesures de sécurité techniques</w:t>
      </w:r>
    </w:p>
    <w:p w14:paraId="4C85A8B7">
      <w:pPr>
        <w:spacing w:before="100" w:after="100"/>
      </w:pPr>
      <w:r>
        <w:rPr>
          <w:rFonts w:ascii="Arial" w:hAnsi="Arial" w:eastAsia="Arial" w:cs="Arial"/>
          <w:sz w:val="22"/>
          <w:szCs w:val="22"/>
        </w:rPr>
        <w:t>8. Plan de mise en oeuvre</w:t>
      </w:r>
    </w:p>
    <w:p w14:paraId="69C7F73C">
      <w:pPr>
        <w:spacing w:before="100" w:after="100"/>
      </w:pPr>
      <w:r>
        <w:rPr>
          <w:rFonts w:ascii="Arial" w:hAnsi="Arial" w:eastAsia="Arial" w:cs="Arial"/>
          <w:sz w:val="22"/>
          <w:szCs w:val="22"/>
        </w:rPr>
        <w:t>9. Conclusion</w:t>
      </w:r>
    </w:p>
    <w:p w14:paraId="19E2125F">
      <w:r>
        <w:br w:type="page"/>
      </w:r>
    </w:p>
    <w:p w14:paraId="5C3C0C8E">
      <w:pPr>
        <w:pStyle w:val="2"/>
        <w:spacing w:before="400" w:after="200"/>
      </w:pPr>
      <w:r>
        <w:rPr>
          <w:rFonts w:ascii="Arial" w:hAnsi="Arial" w:eastAsia="Arial" w:cs="Arial"/>
          <w:b/>
          <w:bCs/>
          <w:color w:val="1F5C99"/>
          <w:sz w:val="32"/>
          <w:szCs w:val="32"/>
        </w:rPr>
        <w:t>1. Introduction et contexte</w:t>
      </w:r>
    </w:p>
    <w:p w14:paraId="28EBA043">
      <w:pPr>
        <w:spacing w:before="100" w:after="100"/>
      </w:pPr>
      <w:r>
        <w:rPr>
          <w:rFonts w:ascii="Arial" w:hAnsi="Arial" w:eastAsia="Arial" w:cs="Arial"/>
          <w:sz w:val="22"/>
          <w:szCs w:val="22"/>
        </w:rPr>
        <w:t>Les applications de santé traitent des données parmi les plus sensibles qui soient : informations médicales, diagnostics, traitements, données biométriques et identités des patients. Ces données font l'objet d'une protection renforcée par la réglementation européenne et nationale, notamment le RGPD et la certification HDS (Hébergeur de Données de Santé).</w:t>
      </w:r>
    </w:p>
    <w:p w14:paraId="2889EB65">
      <w:pPr>
        <w:spacing w:before="100" w:after="100"/>
      </w:pPr>
      <w:r>
        <w:rPr>
          <w:rFonts w:ascii="Arial" w:hAnsi="Arial" w:eastAsia="Arial" w:cs="Arial"/>
          <w:sz w:val="22"/>
          <w:szCs w:val="22"/>
        </w:rPr>
        <w:t>Ce projet a pour objectif de définir une approche complète de sécurisation des données sensibles d'une application santé, en couvrant leur identification, leur classification, les exigences de sécurité associées et l'architecture technique cible.</w:t>
      </w:r>
    </w:p>
    <w:p w14:paraId="5792BB38">
      <w:pPr>
        <w:pStyle w:val="3"/>
        <w:spacing w:before="300" w:after="160"/>
      </w:pPr>
      <w:r>
        <w:rPr>
          <w:rFonts w:ascii="Arial" w:hAnsi="Arial" w:eastAsia="Arial" w:cs="Arial"/>
          <w:b/>
          <w:bCs/>
          <w:color w:val="2E75B6"/>
          <w:sz w:val="26"/>
          <w:szCs w:val="26"/>
        </w:rPr>
        <w:t>1.1 Périmètre de l'application</w:t>
      </w:r>
    </w:p>
    <w:p w14:paraId="27494363">
      <w:pPr>
        <w:spacing w:before="100" w:after="100"/>
      </w:pPr>
      <w:r>
        <w:rPr>
          <w:rFonts w:ascii="Arial" w:hAnsi="Arial" w:eastAsia="Arial" w:cs="Arial"/>
          <w:sz w:val="22"/>
          <w:szCs w:val="22"/>
        </w:rPr>
        <w:t>L'application santé considérée dans ce projet est une plateforme web et mobile permettant :</w:t>
      </w:r>
    </w:p>
    <w:p w14:paraId="1D99B920">
      <w:pPr>
        <w:pStyle w:val="16"/>
        <w:numPr>
          <w:ilvl w:val="0"/>
          <w:numId w:val="1"/>
        </w:numPr>
        <w:spacing w:before="60" w:after="60"/>
      </w:pPr>
      <w:r>
        <w:rPr>
          <w:rFonts w:ascii="Arial" w:hAnsi="Arial" w:eastAsia="Arial" w:cs="Arial"/>
          <w:b w:val="0"/>
          <w:bCs w:val="0"/>
          <w:sz w:val="22"/>
          <w:szCs w:val="22"/>
        </w:rPr>
        <w:t>La gestion des dossiers patients (DMP - Dossier Médical Partagé)</w:t>
      </w:r>
    </w:p>
    <w:p w14:paraId="4C7127D6">
      <w:pPr>
        <w:pStyle w:val="16"/>
        <w:numPr>
          <w:ilvl w:val="0"/>
          <w:numId w:val="1"/>
        </w:numPr>
        <w:spacing w:before="60" w:after="60"/>
      </w:pPr>
      <w:r>
        <w:rPr>
          <w:rFonts w:ascii="Arial" w:hAnsi="Arial" w:eastAsia="Arial" w:cs="Arial"/>
          <w:b w:val="0"/>
          <w:bCs w:val="0"/>
          <w:sz w:val="22"/>
          <w:szCs w:val="22"/>
        </w:rPr>
        <w:t>La prise de rendez-vous médicaux en ligne</w:t>
      </w:r>
    </w:p>
    <w:p w14:paraId="11A3E87E">
      <w:pPr>
        <w:pStyle w:val="16"/>
        <w:numPr>
          <w:ilvl w:val="0"/>
          <w:numId w:val="1"/>
        </w:numPr>
        <w:spacing w:before="60" w:after="60"/>
      </w:pPr>
      <w:r>
        <w:rPr>
          <w:rFonts w:ascii="Arial" w:hAnsi="Arial" w:eastAsia="Arial" w:cs="Arial"/>
          <w:b w:val="0"/>
          <w:bCs w:val="0"/>
          <w:sz w:val="22"/>
          <w:szCs w:val="22"/>
        </w:rPr>
        <w:t>La consultation et le partage d'ordonnances</w:t>
      </w:r>
    </w:p>
    <w:p w14:paraId="2617206B">
      <w:pPr>
        <w:pStyle w:val="16"/>
        <w:numPr>
          <w:ilvl w:val="0"/>
          <w:numId w:val="1"/>
        </w:numPr>
        <w:spacing w:before="60" w:after="60"/>
      </w:pPr>
      <w:r>
        <w:rPr>
          <w:rFonts w:ascii="Arial" w:hAnsi="Arial" w:eastAsia="Arial" w:cs="Arial"/>
          <w:b w:val="0"/>
          <w:bCs w:val="0"/>
          <w:sz w:val="22"/>
          <w:szCs w:val="22"/>
        </w:rPr>
        <w:t>Le suivi des constantes vitales et des résultats d'analyses</w:t>
      </w:r>
    </w:p>
    <w:p w14:paraId="7783FBC5">
      <w:pPr>
        <w:pStyle w:val="16"/>
        <w:numPr>
          <w:ilvl w:val="0"/>
          <w:numId w:val="1"/>
        </w:numPr>
        <w:spacing w:before="60" w:after="60"/>
      </w:pPr>
      <w:r>
        <w:rPr>
          <w:rFonts w:ascii="Arial" w:hAnsi="Arial" w:eastAsia="Arial" w:cs="Arial"/>
          <w:b w:val="0"/>
          <w:bCs w:val="0"/>
          <w:sz w:val="22"/>
          <w:szCs w:val="22"/>
        </w:rPr>
        <w:t>La messagerie sécurisée entre patients et professionnels de santé</w:t>
      </w:r>
    </w:p>
    <w:p w14:paraId="5E932228">
      <w:r>
        <w:br w:type="page"/>
      </w:r>
      <w:bookmarkStart w:id="0" w:name="_GoBack"/>
      <w:bookmarkEnd w:id="0"/>
    </w:p>
    <w:p w14:paraId="0234970F">
      <w:pPr>
        <w:pStyle w:val="2"/>
        <w:spacing w:before="400" w:after="200"/>
      </w:pPr>
      <w:r>
        <w:rPr>
          <w:rFonts w:ascii="Arial" w:hAnsi="Arial" w:eastAsia="Arial" w:cs="Arial"/>
          <w:b/>
          <w:bCs/>
          <w:color w:val="1F5C99"/>
          <w:sz w:val="32"/>
          <w:szCs w:val="32"/>
        </w:rPr>
        <w:t>2. Identification des données sensibles</w:t>
      </w:r>
    </w:p>
    <w:p w14:paraId="7943C388">
      <w:pPr>
        <w:spacing w:before="100" w:after="100"/>
      </w:pPr>
      <w:r>
        <w:rPr>
          <w:rFonts w:ascii="Arial" w:hAnsi="Arial" w:eastAsia="Arial" w:cs="Arial"/>
          <w:sz w:val="22"/>
          <w:szCs w:val="22"/>
        </w:rPr>
        <w:t>L'identification des données sensibles est la première étape indispensable à toute démarche de sécurisation. Elle consiste à recenser l'ensemble des données traitées par l'application et à déterminer lesquelles requièrent une protection renforcée.</w:t>
      </w:r>
    </w:p>
    <w:p w14:paraId="7B90F1B5">
      <w:pPr>
        <w:pStyle w:val="3"/>
        <w:spacing w:before="300" w:after="160"/>
      </w:pPr>
      <w:r>
        <w:rPr>
          <w:rFonts w:ascii="Arial" w:hAnsi="Arial" w:eastAsia="Arial" w:cs="Arial"/>
          <w:b/>
          <w:bCs/>
          <w:color w:val="2E75B6"/>
          <w:sz w:val="26"/>
          <w:szCs w:val="26"/>
        </w:rPr>
        <w:t>2.1 Catégories de données traitées</w:t>
      </w:r>
    </w:p>
    <w:p w14:paraId="7E7F2FAA">
      <w:pPr>
        <w:pStyle w:val="4"/>
        <w:spacing w:before="200" w:after="120"/>
      </w:pPr>
      <w:r>
        <w:rPr>
          <w:rFonts w:ascii="Arial" w:hAnsi="Arial" w:eastAsia="Arial" w:cs="Arial"/>
          <w:b/>
          <w:bCs/>
          <w:color w:val="404040"/>
          <w:sz w:val="24"/>
          <w:szCs w:val="24"/>
        </w:rPr>
        <w:t>2.1.1 Données d'identification</w:t>
      </w:r>
    </w:p>
    <w:p w14:paraId="20047411">
      <w:pPr>
        <w:pStyle w:val="16"/>
        <w:numPr>
          <w:ilvl w:val="0"/>
          <w:numId w:val="1"/>
        </w:numPr>
        <w:spacing w:before="60" w:after="60"/>
      </w:pPr>
      <w:r>
        <w:rPr>
          <w:rFonts w:ascii="Arial" w:hAnsi="Arial" w:eastAsia="Arial" w:cs="Arial"/>
          <w:b w:val="0"/>
          <w:bCs w:val="0"/>
          <w:sz w:val="22"/>
          <w:szCs w:val="22"/>
        </w:rPr>
        <w:t>Nom, prénom, date de naissance</w:t>
      </w:r>
    </w:p>
    <w:p w14:paraId="3DA12503">
      <w:pPr>
        <w:pStyle w:val="16"/>
        <w:numPr>
          <w:ilvl w:val="0"/>
          <w:numId w:val="1"/>
        </w:numPr>
        <w:spacing w:before="60" w:after="60"/>
      </w:pPr>
      <w:r>
        <w:rPr>
          <w:rFonts w:ascii="Arial" w:hAnsi="Arial" w:eastAsia="Arial" w:cs="Arial"/>
          <w:b w:val="0"/>
          <w:bCs w:val="0"/>
          <w:sz w:val="22"/>
          <w:szCs w:val="22"/>
        </w:rPr>
        <w:t>Numéro de Sécurité Sociale (NIR)</w:t>
      </w:r>
    </w:p>
    <w:p w14:paraId="1E207898">
      <w:pPr>
        <w:pStyle w:val="16"/>
        <w:numPr>
          <w:ilvl w:val="0"/>
          <w:numId w:val="1"/>
        </w:numPr>
        <w:spacing w:before="60" w:after="60"/>
      </w:pPr>
      <w:r>
        <w:rPr>
          <w:rFonts w:ascii="Arial" w:hAnsi="Arial" w:eastAsia="Arial" w:cs="Arial"/>
          <w:b w:val="0"/>
          <w:bCs w:val="0"/>
          <w:sz w:val="22"/>
          <w:szCs w:val="22"/>
        </w:rPr>
        <w:t>Adresse postale, adresse e-mail, numéro de téléphone</w:t>
      </w:r>
    </w:p>
    <w:p w14:paraId="503D6991">
      <w:pPr>
        <w:pStyle w:val="16"/>
        <w:numPr>
          <w:ilvl w:val="0"/>
          <w:numId w:val="1"/>
        </w:numPr>
        <w:spacing w:before="60" w:after="60"/>
      </w:pPr>
      <w:r>
        <w:rPr>
          <w:rFonts w:ascii="Arial" w:hAnsi="Arial" w:eastAsia="Arial" w:cs="Arial"/>
          <w:b w:val="0"/>
          <w:bCs w:val="0"/>
          <w:sz w:val="22"/>
          <w:szCs w:val="22"/>
        </w:rPr>
        <w:t>Identifiants de connexion (login, mot de passe hashé)</w:t>
      </w:r>
    </w:p>
    <w:p w14:paraId="4F04C05E">
      <w:pPr>
        <w:pStyle w:val="4"/>
        <w:spacing w:before="200" w:after="120"/>
      </w:pPr>
      <w:r>
        <w:rPr>
          <w:rFonts w:ascii="Arial" w:hAnsi="Arial" w:eastAsia="Arial" w:cs="Arial"/>
          <w:b/>
          <w:bCs/>
          <w:color w:val="404040"/>
          <w:sz w:val="24"/>
          <w:szCs w:val="24"/>
        </w:rPr>
        <w:t>2.1.2 Données médicales (catégorie spéciale RGPD)</w:t>
      </w:r>
    </w:p>
    <w:p w14:paraId="7A6BA225">
      <w:pPr>
        <w:pStyle w:val="16"/>
        <w:numPr>
          <w:ilvl w:val="0"/>
          <w:numId w:val="1"/>
        </w:numPr>
        <w:spacing w:before="60" w:after="60"/>
      </w:pPr>
      <w:r>
        <w:rPr>
          <w:rFonts w:ascii="Arial" w:hAnsi="Arial" w:eastAsia="Arial" w:cs="Arial"/>
          <w:b w:val="0"/>
          <w:bCs w:val="0"/>
          <w:sz w:val="22"/>
          <w:szCs w:val="22"/>
        </w:rPr>
        <w:t>Antécédents médicaux et familiaux</w:t>
      </w:r>
    </w:p>
    <w:p w14:paraId="3815AAF6">
      <w:pPr>
        <w:pStyle w:val="16"/>
        <w:numPr>
          <w:ilvl w:val="0"/>
          <w:numId w:val="1"/>
        </w:numPr>
        <w:spacing w:before="60" w:after="60"/>
      </w:pPr>
      <w:r>
        <w:rPr>
          <w:rFonts w:ascii="Arial" w:hAnsi="Arial" w:eastAsia="Arial" w:cs="Arial"/>
          <w:b w:val="0"/>
          <w:bCs w:val="0"/>
          <w:sz w:val="22"/>
          <w:szCs w:val="22"/>
        </w:rPr>
        <w:t>Diagnostics, pathologies, maladies chroniques</w:t>
      </w:r>
    </w:p>
    <w:p w14:paraId="66AA69B4">
      <w:pPr>
        <w:pStyle w:val="16"/>
        <w:numPr>
          <w:ilvl w:val="0"/>
          <w:numId w:val="1"/>
        </w:numPr>
        <w:spacing w:before="60" w:after="60"/>
      </w:pPr>
      <w:r>
        <w:rPr>
          <w:rFonts w:ascii="Arial" w:hAnsi="Arial" w:eastAsia="Arial" w:cs="Arial"/>
          <w:b w:val="0"/>
          <w:bCs w:val="0"/>
          <w:sz w:val="22"/>
          <w:szCs w:val="22"/>
        </w:rPr>
        <w:t>Ordonnances et traitements médicamenteux</w:t>
      </w:r>
    </w:p>
    <w:p w14:paraId="74F32612">
      <w:pPr>
        <w:pStyle w:val="16"/>
        <w:numPr>
          <w:ilvl w:val="0"/>
          <w:numId w:val="1"/>
        </w:numPr>
        <w:spacing w:before="60" w:after="60"/>
      </w:pPr>
      <w:r>
        <w:rPr>
          <w:rFonts w:ascii="Arial" w:hAnsi="Arial" w:eastAsia="Arial" w:cs="Arial"/>
          <w:b w:val="0"/>
          <w:bCs w:val="0"/>
          <w:sz w:val="22"/>
          <w:szCs w:val="22"/>
        </w:rPr>
        <w:t>Résultats d'examens biologiques et d'imagerie</w:t>
      </w:r>
    </w:p>
    <w:p w14:paraId="15940E67">
      <w:pPr>
        <w:pStyle w:val="16"/>
        <w:numPr>
          <w:ilvl w:val="0"/>
          <w:numId w:val="1"/>
        </w:numPr>
        <w:spacing w:before="60" w:after="60"/>
      </w:pPr>
      <w:r>
        <w:rPr>
          <w:rFonts w:ascii="Arial" w:hAnsi="Arial" w:eastAsia="Arial" w:cs="Arial"/>
          <w:b w:val="0"/>
          <w:bCs w:val="0"/>
          <w:sz w:val="22"/>
          <w:szCs w:val="22"/>
        </w:rPr>
        <w:t>Comptes rendus de consultations</w:t>
      </w:r>
    </w:p>
    <w:p w14:paraId="4D156959">
      <w:pPr>
        <w:pStyle w:val="16"/>
        <w:numPr>
          <w:ilvl w:val="0"/>
          <w:numId w:val="1"/>
        </w:numPr>
        <w:spacing w:before="60" w:after="60"/>
      </w:pPr>
      <w:r>
        <w:rPr>
          <w:rFonts w:ascii="Arial" w:hAnsi="Arial" w:eastAsia="Arial" w:cs="Arial"/>
          <w:b w:val="0"/>
          <w:bCs w:val="0"/>
          <w:sz w:val="22"/>
          <w:szCs w:val="22"/>
        </w:rPr>
        <w:t>Données de santé collectées par objets connectés (IoT médical)</w:t>
      </w:r>
    </w:p>
    <w:p w14:paraId="714C9C44">
      <w:pPr>
        <w:pStyle w:val="4"/>
        <w:spacing w:before="200" w:after="120"/>
      </w:pPr>
      <w:r>
        <w:rPr>
          <w:rFonts w:ascii="Arial" w:hAnsi="Arial" w:eastAsia="Arial" w:cs="Arial"/>
          <w:b/>
          <w:bCs/>
          <w:color w:val="404040"/>
          <w:sz w:val="24"/>
          <w:szCs w:val="24"/>
        </w:rPr>
        <w:t>2.1.3 Données des professionnels de santé</w:t>
      </w:r>
    </w:p>
    <w:p w14:paraId="511978AD">
      <w:pPr>
        <w:pStyle w:val="16"/>
        <w:numPr>
          <w:ilvl w:val="0"/>
          <w:numId w:val="1"/>
        </w:numPr>
        <w:spacing w:before="60" w:after="60"/>
      </w:pPr>
      <w:r>
        <w:rPr>
          <w:rFonts w:ascii="Arial" w:hAnsi="Arial" w:eastAsia="Arial" w:cs="Arial"/>
          <w:b w:val="0"/>
          <w:bCs w:val="0"/>
          <w:sz w:val="22"/>
          <w:szCs w:val="22"/>
        </w:rPr>
        <w:t>Numéro RPPS (Répertoire Partagé des Professionnels de Santé)</w:t>
      </w:r>
    </w:p>
    <w:p w14:paraId="56B9640F">
      <w:pPr>
        <w:pStyle w:val="16"/>
        <w:numPr>
          <w:ilvl w:val="0"/>
          <w:numId w:val="1"/>
        </w:numPr>
        <w:spacing w:before="60" w:after="60"/>
      </w:pPr>
      <w:r>
        <w:rPr>
          <w:rFonts w:ascii="Arial" w:hAnsi="Arial" w:eastAsia="Arial" w:cs="Arial"/>
          <w:b w:val="0"/>
          <w:bCs w:val="0"/>
          <w:sz w:val="22"/>
          <w:szCs w:val="22"/>
        </w:rPr>
        <w:t>Spécialité, établissement d'exercice</w:t>
      </w:r>
    </w:p>
    <w:p w14:paraId="441B171C">
      <w:pPr>
        <w:pStyle w:val="16"/>
        <w:numPr>
          <w:ilvl w:val="0"/>
          <w:numId w:val="1"/>
        </w:numPr>
        <w:spacing w:before="60" w:after="60"/>
      </w:pPr>
      <w:r>
        <w:rPr>
          <w:rFonts w:ascii="Arial" w:hAnsi="Arial" w:eastAsia="Arial" w:cs="Arial"/>
          <w:b w:val="0"/>
          <w:bCs w:val="0"/>
          <w:sz w:val="22"/>
          <w:szCs w:val="22"/>
        </w:rPr>
        <w:t>Agenda et disponibilités</w:t>
      </w:r>
    </w:p>
    <w:p w14:paraId="2801ED36">
      <w:pPr>
        <w:pStyle w:val="4"/>
        <w:spacing w:before="200" w:after="120"/>
      </w:pPr>
      <w:r>
        <w:rPr>
          <w:rFonts w:ascii="Arial" w:hAnsi="Arial" w:eastAsia="Arial" w:cs="Arial"/>
          <w:b/>
          <w:bCs/>
          <w:color w:val="404040"/>
          <w:sz w:val="24"/>
          <w:szCs w:val="24"/>
        </w:rPr>
        <w:t>2.1.4 Données financières et administratives</w:t>
      </w:r>
    </w:p>
    <w:p w14:paraId="19BB80B2">
      <w:pPr>
        <w:pStyle w:val="16"/>
        <w:numPr>
          <w:ilvl w:val="0"/>
          <w:numId w:val="1"/>
        </w:numPr>
        <w:spacing w:before="60" w:after="60"/>
      </w:pPr>
      <w:r>
        <w:rPr>
          <w:rFonts w:ascii="Arial" w:hAnsi="Arial" w:eastAsia="Arial" w:cs="Arial"/>
          <w:b w:val="0"/>
          <w:bCs w:val="0"/>
          <w:sz w:val="22"/>
          <w:szCs w:val="22"/>
        </w:rPr>
        <w:t>Informations de mutuelle et remboursement</w:t>
      </w:r>
    </w:p>
    <w:p w14:paraId="6BB28D69">
      <w:pPr>
        <w:pStyle w:val="16"/>
        <w:numPr>
          <w:ilvl w:val="0"/>
          <w:numId w:val="1"/>
        </w:numPr>
        <w:spacing w:before="60" w:after="60"/>
      </w:pPr>
      <w:r>
        <w:rPr>
          <w:rFonts w:ascii="Arial" w:hAnsi="Arial" w:eastAsia="Arial" w:cs="Arial"/>
          <w:b w:val="0"/>
          <w:bCs w:val="0"/>
          <w:sz w:val="22"/>
          <w:szCs w:val="22"/>
        </w:rPr>
        <w:t>Données de facturation et de paiement</w:t>
      </w:r>
    </w:p>
    <w:p w14:paraId="10222B33">
      <w:pPr>
        <w:pStyle w:val="16"/>
        <w:numPr>
          <w:ilvl w:val="0"/>
          <w:numId w:val="1"/>
        </w:numPr>
        <w:spacing w:before="60" w:after="60"/>
      </w:pPr>
      <w:r>
        <w:rPr>
          <w:rFonts w:ascii="Arial" w:hAnsi="Arial" w:eastAsia="Arial" w:cs="Arial"/>
          <w:b w:val="0"/>
          <w:bCs w:val="0"/>
          <w:sz w:val="22"/>
          <w:szCs w:val="22"/>
        </w:rPr>
        <w:t>Contrats et consentements signés</w:t>
      </w:r>
    </w:p>
    <w:p w14:paraId="1CF421D5">
      <w:pPr>
        <w:pStyle w:val="3"/>
        <w:spacing w:before="300" w:after="160"/>
      </w:pPr>
      <w:r>
        <w:rPr>
          <w:rFonts w:ascii="Arial" w:hAnsi="Arial" w:eastAsia="Arial" w:cs="Arial"/>
          <w:b/>
          <w:bCs/>
          <w:color w:val="2E75B6"/>
          <w:sz w:val="26"/>
          <w:szCs w:val="26"/>
        </w:rPr>
        <w:t>2.2 Flux de données</w:t>
      </w:r>
    </w:p>
    <w:p w14:paraId="1EC4EA42">
      <w:pPr>
        <w:spacing w:before="100" w:after="100"/>
      </w:pPr>
      <w:r>
        <w:rPr>
          <w:rFonts w:ascii="Arial" w:hAnsi="Arial" w:eastAsia="Arial" w:cs="Arial"/>
          <w:sz w:val="22"/>
          <w:szCs w:val="22"/>
        </w:rPr>
        <w:t>Les données sensibles circulent entre les composants suivants de l'application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526"/>
      </w:tblGrid>
      <w:tr w14:paraId="20574C14">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30B5F7C9">
            <w:pPr>
              <w:jc w:val="center"/>
            </w:pPr>
            <w:r>
              <w:rPr>
                <w:rFonts w:ascii="Arial" w:hAnsi="Arial" w:eastAsia="Arial" w:cs="Arial"/>
                <w:b/>
                <w:bCs/>
                <w:color w:val="FFFFFF"/>
                <w:sz w:val="20"/>
                <w:szCs w:val="20"/>
              </w:rPr>
              <w:t>Source</w:t>
            </w:r>
          </w:p>
        </w:tc>
        <w:tc>
          <w:tcPr>
            <w:tcW w:w="30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02C71852">
            <w:pPr>
              <w:jc w:val="center"/>
            </w:pPr>
            <w:r>
              <w:rPr>
                <w:rFonts w:ascii="Arial" w:hAnsi="Arial" w:eastAsia="Arial" w:cs="Arial"/>
                <w:b/>
                <w:bCs/>
                <w:color w:val="FFFFFF"/>
                <w:sz w:val="20"/>
                <w:szCs w:val="20"/>
              </w:rPr>
              <w:t>Destination</w:t>
            </w:r>
          </w:p>
        </w:tc>
        <w:tc>
          <w:tcPr>
            <w:tcW w:w="3526"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316B238B">
            <w:pPr>
              <w:jc w:val="center"/>
            </w:pPr>
            <w:r>
              <w:rPr>
                <w:rFonts w:ascii="Arial" w:hAnsi="Arial" w:eastAsia="Arial" w:cs="Arial"/>
                <w:b/>
                <w:bCs/>
                <w:color w:val="FFFFFF"/>
                <w:sz w:val="20"/>
                <w:szCs w:val="20"/>
              </w:rPr>
              <w:t>Type de données</w:t>
            </w:r>
          </w:p>
        </w:tc>
      </w:tr>
      <w:tr w14:paraId="1DA78F5D">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10E6D2">
            <w:r>
              <w:rPr>
                <w:rFonts w:ascii="Arial" w:hAnsi="Arial" w:eastAsia="Arial" w:cs="Arial"/>
                <w:sz w:val="20"/>
                <w:szCs w:val="20"/>
              </w:rPr>
              <w:t>Application mobile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84ED32">
            <w:r>
              <w:rPr>
                <w:rFonts w:ascii="Arial" w:hAnsi="Arial" w:eastAsia="Arial" w:cs="Arial"/>
                <w:sz w:val="20"/>
                <w:szCs w:val="20"/>
              </w:rPr>
              <w:t>API Backend</w:t>
            </w:r>
          </w:p>
        </w:tc>
        <w:tc>
          <w:tcPr>
            <w:tcW w:w="3526"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290D23C9">
            <w:r>
              <w:rPr>
                <w:rFonts w:ascii="Arial" w:hAnsi="Arial" w:eastAsia="Arial" w:cs="Arial"/>
                <w:sz w:val="20"/>
                <w:szCs w:val="20"/>
              </w:rPr>
              <w:t>Données patient, constantes vitales</w:t>
            </w:r>
          </w:p>
        </w:tc>
      </w:tr>
      <w:tr w14:paraId="706FECA6">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FA063E">
            <w:r>
              <w:rPr>
                <w:rFonts w:ascii="Arial" w:hAnsi="Arial" w:eastAsia="Arial" w:cs="Arial"/>
                <w:sz w:val="20"/>
                <w:szCs w:val="20"/>
              </w:rPr>
              <w:t>API Backend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FC68C2">
            <w:r>
              <w:rPr>
                <w:rFonts w:ascii="Arial" w:hAnsi="Arial" w:eastAsia="Arial" w:cs="Arial"/>
                <w:sz w:val="20"/>
                <w:szCs w:val="20"/>
              </w:rPr>
              <w:t>Base de données</w:t>
            </w:r>
          </w:p>
        </w:tc>
        <w:tc>
          <w:tcPr>
            <w:tcW w:w="3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A023F8">
            <w:r>
              <w:rPr>
                <w:rFonts w:ascii="Arial" w:hAnsi="Arial" w:eastAsia="Arial" w:cs="Arial"/>
                <w:sz w:val="20"/>
                <w:szCs w:val="20"/>
              </w:rPr>
              <w:t>DMP, ordonnances, résultats</w:t>
            </w:r>
          </w:p>
        </w:tc>
      </w:tr>
      <w:tr w14:paraId="0C67AB92">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38D58E">
            <w:r>
              <w:rPr>
                <w:rFonts w:ascii="Arial" w:hAnsi="Arial" w:eastAsia="Arial" w:cs="Arial"/>
                <w:sz w:val="20"/>
                <w:szCs w:val="20"/>
              </w:rPr>
              <w:t>Médecin (Web)</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8A6892">
            <w:r>
              <w:rPr>
                <w:rFonts w:ascii="Arial" w:hAnsi="Arial" w:eastAsia="Arial" w:cs="Arial"/>
                <w:sz w:val="20"/>
                <w:szCs w:val="20"/>
              </w:rPr>
              <w:t>Serveur de messagerie</w:t>
            </w:r>
          </w:p>
        </w:tc>
        <w:tc>
          <w:tcPr>
            <w:tcW w:w="3526"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77619B69">
            <w:r>
              <w:rPr>
                <w:rFonts w:ascii="Arial" w:hAnsi="Arial" w:eastAsia="Arial" w:cs="Arial"/>
                <w:sz w:val="20"/>
                <w:szCs w:val="20"/>
              </w:rPr>
              <w:t>Messages sécurisés, pièces jointes médicales</w:t>
            </w:r>
          </w:p>
        </w:tc>
      </w:tr>
      <w:tr w14:paraId="50CA0279">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7DEAA6">
            <w:r>
              <w:rPr>
                <w:rFonts w:ascii="Arial" w:hAnsi="Arial" w:eastAsia="Arial" w:cs="Arial"/>
                <w:sz w:val="20"/>
                <w:szCs w:val="20"/>
              </w:rPr>
              <w:t>Base de données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889F9B">
            <w:r>
              <w:rPr>
                <w:rFonts w:ascii="Arial" w:hAnsi="Arial" w:eastAsia="Arial" w:cs="Arial"/>
                <w:sz w:val="20"/>
                <w:szCs w:val="20"/>
              </w:rPr>
              <w:t>Système de sauvegarde</w:t>
            </w:r>
          </w:p>
        </w:tc>
        <w:tc>
          <w:tcPr>
            <w:tcW w:w="3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D8A2F7">
            <w:r>
              <w:rPr>
                <w:rFonts w:ascii="Arial" w:hAnsi="Arial" w:eastAsia="Arial" w:cs="Arial"/>
                <w:sz w:val="20"/>
                <w:szCs w:val="20"/>
              </w:rPr>
              <w:t>Toutes données (chiffrées)</w:t>
            </w:r>
          </w:p>
        </w:tc>
      </w:tr>
    </w:tbl>
    <w:p w14:paraId="2616CDAA">
      <w:r>
        <w:br w:type="page"/>
      </w:r>
    </w:p>
    <w:p w14:paraId="264E9702">
      <w:pPr>
        <w:pStyle w:val="2"/>
        <w:spacing w:before="400" w:after="200"/>
      </w:pPr>
      <w:r>
        <w:rPr>
          <w:rFonts w:ascii="Arial" w:hAnsi="Arial" w:eastAsia="Arial" w:cs="Arial"/>
          <w:b/>
          <w:bCs/>
          <w:color w:val="1F5C99"/>
          <w:sz w:val="32"/>
          <w:szCs w:val="32"/>
        </w:rPr>
        <w:t>3. Classification des données</w:t>
      </w:r>
    </w:p>
    <w:p w14:paraId="02DFD399">
      <w:pPr>
        <w:spacing w:before="100" w:after="100"/>
      </w:pPr>
      <w:r>
        <w:rPr>
          <w:rFonts w:ascii="Arial" w:hAnsi="Arial" w:eastAsia="Arial" w:cs="Arial"/>
          <w:sz w:val="22"/>
          <w:szCs w:val="22"/>
        </w:rPr>
        <w:t>La classification des données permet d'attribuer un niveau de sensibilité à chaque type de donnée, afin d'appliquer des mesures de protection proportionnées.</w:t>
      </w:r>
    </w:p>
    <w:p w14:paraId="01F737F9">
      <w:pPr>
        <w:pStyle w:val="3"/>
        <w:spacing w:before="300" w:after="160"/>
      </w:pPr>
      <w:r>
        <w:rPr>
          <w:rFonts w:ascii="Arial" w:hAnsi="Arial" w:eastAsia="Arial" w:cs="Arial"/>
          <w:b/>
          <w:bCs/>
          <w:color w:val="2E75B6"/>
          <w:sz w:val="26"/>
          <w:szCs w:val="26"/>
        </w:rPr>
        <w:t>3.1 Niveaux de classification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2500"/>
        <w:gridCol w:w="2526"/>
      </w:tblGrid>
      <w:tr w14:paraId="1722922D">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41DDFC46">
            <w:pPr>
              <w:jc w:val="center"/>
            </w:pPr>
            <w:r>
              <w:rPr>
                <w:rFonts w:ascii="Arial" w:hAnsi="Arial" w:eastAsia="Arial" w:cs="Arial"/>
                <w:b/>
                <w:bCs/>
                <w:color w:val="FFFFFF"/>
                <w:sz w:val="20"/>
                <w:szCs w:val="20"/>
              </w:rPr>
              <w:t>Niveau</w:t>
            </w:r>
          </w:p>
        </w:tc>
        <w:tc>
          <w:tcPr>
            <w:tcW w:w="22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5326B864">
            <w:pPr>
              <w:jc w:val="center"/>
            </w:pPr>
            <w:r>
              <w:rPr>
                <w:rFonts w:ascii="Arial" w:hAnsi="Arial" w:eastAsia="Arial" w:cs="Arial"/>
                <w:b/>
                <w:bCs/>
                <w:color w:val="FFFFFF"/>
                <w:sz w:val="20"/>
                <w:szCs w:val="20"/>
              </w:rPr>
              <w:t>Catégorie</w:t>
            </w:r>
          </w:p>
        </w:tc>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3E057198">
            <w:pPr>
              <w:jc w:val="center"/>
            </w:pPr>
            <w:r>
              <w:rPr>
                <w:rFonts w:ascii="Arial" w:hAnsi="Arial" w:eastAsia="Arial" w:cs="Arial"/>
                <w:b/>
                <w:bCs/>
                <w:color w:val="FFFFFF"/>
                <w:sz w:val="20"/>
                <w:szCs w:val="20"/>
              </w:rPr>
              <w:t>Exemples</w:t>
            </w:r>
          </w:p>
        </w:tc>
        <w:tc>
          <w:tcPr>
            <w:tcW w:w="2526"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448C397F">
            <w:pPr>
              <w:jc w:val="center"/>
            </w:pPr>
            <w:r>
              <w:rPr>
                <w:rFonts w:ascii="Arial" w:hAnsi="Arial" w:eastAsia="Arial" w:cs="Arial"/>
                <w:b/>
                <w:bCs/>
                <w:color w:val="FFFFFF"/>
                <w:sz w:val="20"/>
                <w:szCs w:val="20"/>
              </w:rPr>
              <w:t>Mesures minimales</w:t>
            </w:r>
          </w:p>
        </w:tc>
      </w:tr>
      <w:tr w14:paraId="1DA0F32B">
        <w:tc>
          <w:tcPr>
            <w:tcW w:w="1800" w:type="dxa"/>
            <w:tcBorders>
              <w:top w:val="single" w:color="CCCCCC" w:sz="0" w:space="0"/>
              <w:left w:val="single" w:color="CCCCCC" w:sz="0" w:space="0"/>
              <w:bottom w:val="single" w:color="CCCCCC" w:sz="0" w:space="0"/>
              <w:right w:val="single" w:color="CCCCCC" w:sz="0" w:space="0"/>
            </w:tcBorders>
            <w:shd w:val="clear" w:color="auto" w:fill="FFE5E5"/>
            <w:tcMar>
              <w:top w:w="80" w:type="dxa"/>
              <w:left w:w="120" w:type="dxa"/>
              <w:bottom w:w="80" w:type="dxa"/>
              <w:right w:w="120" w:type="dxa"/>
            </w:tcMar>
          </w:tcPr>
          <w:p w14:paraId="27720315">
            <w:r>
              <w:rPr>
                <w:rFonts w:ascii="Arial" w:hAnsi="Arial" w:eastAsia="Arial" w:cs="Arial"/>
                <w:sz w:val="20"/>
                <w:szCs w:val="20"/>
              </w:rPr>
              <w:t>CRITIQUE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2A57C0">
            <w:r>
              <w:rPr>
                <w:rFonts w:ascii="Arial" w:hAnsi="Arial" w:eastAsia="Arial" w:cs="Arial"/>
                <w:sz w:val="20"/>
                <w:szCs w:val="20"/>
              </w:rPr>
              <w:t>Données de santé RGPD art.9</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818181">
            <w:r>
              <w:rPr>
                <w:rFonts w:ascii="Arial" w:hAnsi="Arial" w:eastAsia="Arial" w:cs="Arial"/>
                <w:sz w:val="20"/>
                <w:szCs w:val="20"/>
              </w:rPr>
              <w:t>Diagnostics, ordonnances, résultats</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6A9A6E">
            <w:r>
              <w:rPr>
                <w:rFonts w:ascii="Arial" w:hAnsi="Arial" w:eastAsia="Arial" w:cs="Arial"/>
                <w:sz w:val="20"/>
                <w:szCs w:val="20"/>
              </w:rPr>
              <w:t>Chiffrement AES-256, accès strictement contrôlé</w:t>
            </w:r>
          </w:p>
        </w:tc>
      </w:tr>
      <w:tr w14:paraId="1C1D71C4">
        <w:tc>
          <w:tcPr>
            <w:tcW w:w="1800" w:type="dxa"/>
            <w:tcBorders>
              <w:top w:val="single" w:color="CCCCCC" w:sz="0" w:space="0"/>
              <w:left w:val="single" w:color="CCCCCC" w:sz="0" w:space="0"/>
              <w:bottom w:val="single" w:color="CCCCCC" w:sz="0" w:space="0"/>
              <w:right w:val="single" w:color="CCCCCC" w:sz="0" w:space="0"/>
            </w:tcBorders>
            <w:shd w:val="clear" w:color="auto" w:fill="FFF3E0"/>
            <w:tcMar>
              <w:top w:w="80" w:type="dxa"/>
              <w:left w:w="120" w:type="dxa"/>
              <w:bottom w:w="80" w:type="dxa"/>
              <w:right w:w="120" w:type="dxa"/>
            </w:tcMar>
          </w:tcPr>
          <w:p w14:paraId="7E79FDBA">
            <w:r>
              <w:rPr>
                <w:rFonts w:ascii="Arial" w:hAnsi="Arial" w:eastAsia="Arial" w:cs="Arial"/>
                <w:sz w:val="20"/>
                <w:szCs w:val="20"/>
              </w:rPr>
              <w:t>ÉLEVÉ</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EFB0AB">
            <w:r>
              <w:rPr>
                <w:rFonts w:ascii="Arial" w:hAnsi="Arial" w:eastAsia="Arial" w:cs="Arial"/>
                <w:sz w:val="20"/>
                <w:szCs w:val="20"/>
              </w:rPr>
              <w:t>Données identifiantes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0A402F">
            <w:r>
              <w:rPr>
                <w:rFonts w:ascii="Arial" w:hAnsi="Arial" w:eastAsia="Arial" w:cs="Arial"/>
                <w:sz w:val="20"/>
                <w:szCs w:val="20"/>
              </w:rPr>
              <w:t>NIR, nom, date de naissance</w:t>
            </w:r>
          </w:p>
        </w:tc>
        <w:tc>
          <w:tcPr>
            <w:tcW w:w="2526"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739C08E9">
            <w:r>
              <w:rPr>
                <w:rFonts w:ascii="Arial" w:hAnsi="Arial" w:eastAsia="Arial" w:cs="Arial"/>
                <w:sz w:val="20"/>
                <w:szCs w:val="20"/>
              </w:rPr>
              <w:t>Chiffrement, pseudonymisation</w:t>
            </w:r>
          </w:p>
        </w:tc>
      </w:tr>
      <w:tr w14:paraId="1B8D159D">
        <w:tc>
          <w:tcPr>
            <w:tcW w:w="1800"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57F1A72F">
            <w:r>
              <w:rPr>
                <w:rFonts w:ascii="Arial" w:hAnsi="Arial" w:eastAsia="Arial" w:cs="Arial"/>
                <w:sz w:val="20"/>
                <w:szCs w:val="20"/>
              </w:rPr>
              <w:t>MODÉRÉ</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179C2F">
            <w:r>
              <w:rPr>
                <w:rFonts w:ascii="Arial" w:hAnsi="Arial" w:eastAsia="Arial" w:cs="Arial"/>
                <w:sz w:val="20"/>
                <w:szCs w:val="20"/>
              </w:rPr>
              <w:t>Données de contact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9766D">
            <w:r>
              <w:rPr>
                <w:rFonts w:ascii="Arial" w:hAnsi="Arial" w:eastAsia="Arial" w:cs="Arial"/>
                <w:sz w:val="20"/>
                <w:szCs w:val="20"/>
              </w:rPr>
              <w:t>Email, téléphone, adresse</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D42AD5">
            <w:r>
              <w:rPr>
                <w:rFonts w:ascii="Arial" w:hAnsi="Arial" w:eastAsia="Arial" w:cs="Arial"/>
                <w:sz w:val="20"/>
                <w:szCs w:val="20"/>
              </w:rPr>
              <w:t>Accès authentifié, journalisation</w:t>
            </w:r>
          </w:p>
        </w:tc>
      </w:tr>
      <w:tr w14:paraId="4A752F7B">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EE742A1">
            <w:r>
              <w:rPr>
                <w:rFonts w:ascii="Arial" w:hAnsi="Arial" w:eastAsia="Arial" w:cs="Arial"/>
                <w:sz w:val="20"/>
                <w:szCs w:val="20"/>
              </w:rPr>
              <w:t>FAIBLE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3F5C9A">
            <w:r>
              <w:rPr>
                <w:rFonts w:ascii="Arial" w:hAnsi="Arial" w:eastAsia="Arial" w:cs="Arial"/>
                <w:sz w:val="20"/>
                <w:szCs w:val="20"/>
              </w:rPr>
              <w:t>Données opérationnelles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D31B76">
            <w:r>
              <w:rPr>
                <w:rFonts w:ascii="Arial" w:hAnsi="Arial" w:eastAsia="Arial" w:cs="Arial"/>
                <w:sz w:val="20"/>
                <w:szCs w:val="20"/>
              </w:rPr>
              <w:t>Logs applicatifs anonymisés</w:t>
            </w:r>
          </w:p>
        </w:tc>
        <w:tc>
          <w:tcPr>
            <w:tcW w:w="2526"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59BBB390">
            <w:r>
              <w:rPr>
                <w:rFonts w:ascii="Arial" w:hAnsi="Arial" w:eastAsia="Arial" w:cs="Arial"/>
                <w:sz w:val="20"/>
                <w:szCs w:val="20"/>
              </w:rPr>
              <w:t>Contrôle d'accès standard</w:t>
            </w:r>
          </w:p>
        </w:tc>
      </w:tr>
    </w:tbl>
    <w:p w14:paraId="755866B2">
      <w:pPr>
        <w:pStyle w:val="3"/>
        <w:spacing w:before="300" w:after="160"/>
      </w:pPr>
      <w:r>
        <w:rPr>
          <w:rFonts w:ascii="Arial" w:hAnsi="Arial" w:eastAsia="Arial" w:cs="Arial"/>
          <w:b/>
          <w:bCs/>
          <w:color w:val="2E75B6"/>
          <w:sz w:val="26"/>
          <w:szCs w:val="26"/>
        </w:rPr>
        <w:t>3.2 Principe de pseudonymisation et d'anonymisation</w:t>
      </w:r>
    </w:p>
    <w:p w14:paraId="69C796A4">
      <w:pPr>
        <w:spacing w:before="100" w:after="100"/>
      </w:pPr>
      <w:r>
        <w:rPr>
          <w:rFonts w:ascii="Arial" w:hAnsi="Arial" w:eastAsia="Arial" w:cs="Arial"/>
          <w:sz w:val="22"/>
          <w:szCs w:val="22"/>
        </w:rPr>
        <w:t>Pour réduire les risques en cas de violation, l'application doit distinguer :</w:t>
      </w:r>
    </w:p>
    <w:p w14:paraId="03A3F7A4">
      <w:pPr>
        <w:pStyle w:val="16"/>
        <w:numPr>
          <w:ilvl w:val="0"/>
          <w:numId w:val="1"/>
        </w:numPr>
        <w:spacing w:before="60" w:after="60"/>
      </w:pPr>
      <w:r>
        <w:rPr>
          <w:rFonts w:ascii="Arial" w:hAnsi="Arial" w:eastAsia="Arial" w:cs="Arial"/>
          <w:b w:val="0"/>
          <w:bCs w:val="0"/>
          <w:sz w:val="22"/>
          <w:szCs w:val="22"/>
        </w:rPr>
        <w:t>Pseudonymisation : remplacement des identifiants directs par des identifiants techniques. La réidentification reste possible avec une clé séparée.</w:t>
      </w:r>
    </w:p>
    <w:p w14:paraId="6438E7F9">
      <w:pPr>
        <w:pStyle w:val="16"/>
        <w:numPr>
          <w:ilvl w:val="0"/>
          <w:numId w:val="1"/>
        </w:numPr>
        <w:spacing w:before="60" w:after="60"/>
      </w:pPr>
      <w:r>
        <w:rPr>
          <w:rFonts w:ascii="Arial" w:hAnsi="Arial" w:eastAsia="Arial" w:cs="Arial"/>
          <w:b w:val="0"/>
          <w:bCs w:val="0"/>
          <w:sz w:val="22"/>
          <w:szCs w:val="22"/>
        </w:rPr>
        <w:t>Anonymisation : suppression irréversible de tout lien avec l'individu. Utilisée pour les statistiques et la recherche.</w:t>
      </w:r>
    </w:p>
    <w:p w14:paraId="745A5181">
      <w:r>
        <w:br w:type="page"/>
      </w:r>
    </w:p>
    <w:p w14:paraId="0D2BBE2A">
      <w:pPr>
        <w:pStyle w:val="2"/>
        <w:spacing w:before="400" w:after="200"/>
      </w:pPr>
      <w:r>
        <w:rPr>
          <w:rFonts w:ascii="Arial" w:hAnsi="Arial" w:eastAsia="Arial" w:cs="Arial"/>
          <w:b/>
          <w:bCs/>
          <w:color w:val="1F5C99"/>
          <w:sz w:val="32"/>
          <w:szCs w:val="32"/>
        </w:rPr>
        <w:t>4. Cadre réglementaire</w:t>
      </w:r>
    </w:p>
    <w:p w14:paraId="4DC19261">
      <w:pPr>
        <w:pStyle w:val="3"/>
        <w:spacing w:before="300" w:after="160"/>
      </w:pPr>
      <w:r>
        <w:rPr>
          <w:rFonts w:ascii="Arial" w:hAnsi="Arial" w:eastAsia="Arial" w:cs="Arial"/>
          <w:b/>
          <w:bCs/>
          <w:color w:val="2E75B6"/>
          <w:sz w:val="26"/>
          <w:szCs w:val="26"/>
        </w:rPr>
        <w:t>4.1 RGPD (Règlement Général sur la Protection des Données)</w:t>
      </w:r>
    </w:p>
    <w:p w14:paraId="6AB61BD4">
      <w:pPr>
        <w:spacing w:before="100" w:after="100"/>
      </w:pPr>
      <w:r>
        <w:rPr>
          <w:rFonts w:ascii="Arial" w:hAnsi="Arial" w:eastAsia="Arial" w:cs="Arial"/>
          <w:sz w:val="22"/>
          <w:szCs w:val="22"/>
        </w:rPr>
        <w:t>Le RGPD (UE 2016/679) impose des obligations strictes pour le traitement des données de santé, considérées comme des données sensibles de catégorie spéciale (article 9).</w:t>
      </w:r>
    </w:p>
    <w:p w14:paraId="70AD6E26">
      <w:pPr>
        <w:pStyle w:val="4"/>
        <w:spacing w:before="200" w:after="120"/>
      </w:pPr>
      <w:r>
        <w:rPr>
          <w:rFonts w:ascii="Arial" w:hAnsi="Arial" w:eastAsia="Arial" w:cs="Arial"/>
          <w:b/>
          <w:bCs/>
          <w:color w:val="404040"/>
          <w:sz w:val="24"/>
          <w:szCs w:val="24"/>
        </w:rPr>
        <w:t>Principes fondamentaux applicables</w:t>
      </w:r>
    </w:p>
    <w:p w14:paraId="132066A2">
      <w:pPr>
        <w:pStyle w:val="16"/>
        <w:numPr>
          <w:ilvl w:val="0"/>
          <w:numId w:val="1"/>
        </w:numPr>
        <w:spacing w:before="60" w:after="60"/>
      </w:pPr>
      <w:r>
        <w:rPr>
          <w:rFonts w:ascii="Arial" w:hAnsi="Arial" w:eastAsia="Arial" w:cs="Arial"/>
          <w:b w:val="0"/>
          <w:bCs w:val="0"/>
          <w:sz w:val="22"/>
          <w:szCs w:val="22"/>
        </w:rPr>
        <w:t>Licéité, loyauté et transparence du traitement</w:t>
      </w:r>
    </w:p>
    <w:p w14:paraId="3EE8FB11">
      <w:pPr>
        <w:pStyle w:val="16"/>
        <w:numPr>
          <w:ilvl w:val="0"/>
          <w:numId w:val="1"/>
        </w:numPr>
        <w:spacing w:before="60" w:after="60"/>
      </w:pPr>
      <w:r>
        <w:rPr>
          <w:rFonts w:ascii="Arial" w:hAnsi="Arial" w:eastAsia="Arial" w:cs="Arial"/>
          <w:b w:val="0"/>
          <w:bCs w:val="0"/>
          <w:sz w:val="22"/>
          <w:szCs w:val="22"/>
        </w:rPr>
        <w:t>Limitation des finalités : les données ne peuvent être utilisées qu'aux fins déclarées</w:t>
      </w:r>
    </w:p>
    <w:p w14:paraId="7A235157">
      <w:pPr>
        <w:pStyle w:val="16"/>
        <w:numPr>
          <w:ilvl w:val="0"/>
          <w:numId w:val="1"/>
        </w:numPr>
        <w:spacing w:before="60" w:after="60"/>
      </w:pPr>
      <w:r>
        <w:rPr>
          <w:rFonts w:ascii="Arial" w:hAnsi="Arial" w:eastAsia="Arial" w:cs="Arial"/>
          <w:b w:val="0"/>
          <w:bCs w:val="0"/>
          <w:sz w:val="22"/>
          <w:szCs w:val="22"/>
        </w:rPr>
        <w:t>Minimisation des données : ne collecter que ce qui est strictement nécessaire</w:t>
      </w:r>
    </w:p>
    <w:p w14:paraId="03CEDBD8">
      <w:pPr>
        <w:pStyle w:val="16"/>
        <w:numPr>
          <w:ilvl w:val="0"/>
          <w:numId w:val="1"/>
        </w:numPr>
        <w:spacing w:before="60" w:after="60"/>
      </w:pPr>
      <w:r>
        <w:rPr>
          <w:rFonts w:ascii="Arial" w:hAnsi="Arial" w:eastAsia="Arial" w:cs="Arial"/>
          <w:b w:val="0"/>
          <w:bCs w:val="0"/>
          <w:sz w:val="22"/>
          <w:szCs w:val="22"/>
        </w:rPr>
        <w:t>Exactitude : maintenir les données à jour</w:t>
      </w:r>
    </w:p>
    <w:p w14:paraId="5334A667">
      <w:pPr>
        <w:pStyle w:val="16"/>
        <w:numPr>
          <w:ilvl w:val="0"/>
          <w:numId w:val="1"/>
        </w:numPr>
        <w:spacing w:before="60" w:after="60"/>
      </w:pPr>
      <w:r>
        <w:rPr>
          <w:rFonts w:ascii="Arial" w:hAnsi="Arial" w:eastAsia="Arial" w:cs="Arial"/>
          <w:b w:val="0"/>
          <w:bCs w:val="0"/>
          <w:sz w:val="22"/>
          <w:szCs w:val="22"/>
        </w:rPr>
        <w:t>Limitation de la conservation : supprimer les données après leur durée d'utilité</w:t>
      </w:r>
    </w:p>
    <w:p w14:paraId="7B62B700">
      <w:pPr>
        <w:pStyle w:val="16"/>
        <w:numPr>
          <w:ilvl w:val="0"/>
          <w:numId w:val="1"/>
        </w:numPr>
        <w:spacing w:before="60" w:after="60"/>
      </w:pPr>
      <w:r>
        <w:rPr>
          <w:rFonts w:ascii="Arial" w:hAnsi="Arial" w:eastAsia="Arial" w:cs="Arial"/>
          <w:b w:val="0"/>
          <w:bCs w:val="0"/>
          <w:sz w:val="22"/>
          <w:szCs w:val="22"/>
        </w:rPr>
        <w:t>Intégrité et confidentialité : protection par des mesures techniques et organisationnelles</w:t>
      </w:r>
    </w:p>
    <w:p w14:paraId="769A5674">
      <w:pPr>
        <w:pStyle w:val="16"/>
        <w:numPr>
          <w:ilvl w:val="0"/>
          <w:numId w:val="1"/>
        </w:numPr>
        <w:spacing w:before="60" w:after="60"/>
      </w:pPr>
      <w:r>
        <w:rPr>
          <w:rFonts w:ascii="Arial" w:hAnsi="Arial" w:eastAsia="Arial" w:cs="Arial"/>
          <w:b w:val="0"/>
          <w:bCs w:val="0"/>
          <w:sz w:val="22"/>
          <w:szCs w:val="22"/>
        </w:rPr>
        <w:t>Responsabilité (accountability) : être en mesure de démontrer la conformité</w:t>
      </w:r>
    </w:p>
    <w:p w14:paraId="24A57316">
      <w:pPr>
        <w:pStyle w:val="4"/>
        <w:spacing w:before="200" w:after="120"/>
      </w:pPr>
      <w:r>
        <w:rPr>
          <w:rFonts w:ascii="Arial" w:hAnsi="Arial" w:eastAsia="Arial" w:cs="Arial"/>
          <w:b/>
          <w:bCs/>
          <w:color w:val="404040"/>
          <w:sz w:val="24"/>
          <w:szCs w:val="24"/>
        </w:rPr>
        <w:t>Droits des patients (personnes concernées)</w:t>
      </w:r>
    </w:p>
    <w:p w14:paraId="3B9B6BE3">
      <w:pPr>
        <w:pStyle w:val="16"/>
        <w:numPr>
          <w:ilvl w:val="0"/>
          <w:numId w:val="1"/>
        </w:numPr>
        <w:spacing w:before="60" w:after="60"/>
      </w:pPr>
      <w:r>
        <w:rPr>
          <w:rFonts w:ascii="Arial" w:hAnsi="Arial" w:eastAsia="Arial" w:cs="Arial"/>
          <w:b w:val="0"/>
          <w:bCs w:val="0"/>
          <w:sz w:val="22"/>
          <w:szCs w:val="22"/>
        </w:rPr>
        <w:t>Droit d'accès aux données les concernant</w:t>
      </w:r>
    </w:p>
    <w:p w14:paraId="113FC71E">
      <w:pPr>
        <w:pStyle w:val="16"/>
        <w:numPr>
          <w:ilvl w:val="0"/>
          <w:numId w:val="1"/>
        </w:numPr>
        <w:spacing w:before="60" w:after="60"/>
      </w:pPr>
      <w:r>
        <w:rPr>
          <w:rFonts w:ascii="Arial" w:hAnsi="Arial" w:eastAsia="Arial" w:cs="Arial"/>
          <w:b w:val="0"/>
          <w:bCs w:val="0"/>
          <w:sz w:val="22"/>
          <w:szCs w:val="22"/>
        </w:rPr>
        <w:t>Droit de rectification</w:t>
      </w:r>
    </w:p>
    <w:p w14:paraId="3758C8D6">
      <w:pPr>
        <w:pStyle w:val="16"/>
        <w:numPr>
          <w:ilvl w:val="0"/>
          <w:numId w:val="1"/>
        </w:numPr>
        <w:spacing w:before="60" w:after="60"/>
      </w:pPr>
      <w:r>
        <w:rPr>
          <w:rFonts w:ascii="Arial" w:hAnsi="Arial" w:eastAsia="Arial" w:cs="Arial"/>
          <w:b w:val="0"/>
          <w:bCs w:val="0"/>
          <w:sz w:val="22"/>
          <w:szCs w:val="22"/>
        </w:rPr>
        <w:t>Droit à l'effacement (droit à l'oubli)</w:t>
      </w:r>
    </w:p>
    <w:p w14:paraId="6FD7B96D">
      <w:pPr>
        <w:pStyle w:val="16"/>
        <w:numPr>
          <w:ilvl w:val="0"/>
          <w:numId w:val="1"/>
        </w:numPr>
        <w:spacing w:before="60" w:after="60"/>
      </w:pPr>
      <w:r>
        <w:rPr>
          <w:rFonts w:ascii="Arial" w:hAnsi="Arial" w:eastAsia="Arial" w:cs="Arial"/>
          <w:b w:val="0"/>
          <w:bCs w:val="0"/>
          <w:sz w:val="22"/>
          <w:szCs w:val="22"/>
        </w:rPr>
        <w:t>Droit à la portabilité des données</w:t>
      </w:r>
    </w:p>
    <w:p w14:paraId="6E7C40DC">
      <w:pPr>
        <w:pStyle w:val="16"/>
        <w:numPr>
          <w:ilvl w:val="0"/>
          <w:numId w:val="1"/>
        </w:numPr>
        <w:spacing w:before="60" w:after="60"/>
      </w:pPr>
      <w:r>
        <w:rPr>
          <w:rFonts w:ascii="Arial" w:hAnsi="Arial" w:eastAsia="Arial" w:cs="Arial"/>
          <w:b w:val="0"/>
          <w:bCs w:val="0"/>
          <w:sz w:val="22"/>
          <w:szCs w:val="22"/>
        </w:rPr>
        <w:t>Droit d'opposition et de limitation du traitement</w:t>
      </w:r>
    </w:p>
    <w:p w14:paraId="428BA5E5">
      <w:pPr>
        <w:pStyle w:val="3"/>
        <w:spacing w:before="300" w:after="160"/>
      </w:pPr>
      <w:r>
        <w:rPr>
          <w:rFonts w:ascii="Arial" w:hAnsi="Arial" w:eastAsia="Arial" w:cs="Arial"/>
          <w:b/>
          <w:bCs/>
          <w:color w:val="2E75B6"/>
          <w:sz w:val="26"/>
          <w:szCs w:val="26"/>
        </w:rPr>
        <w:t>4.2 Certification HDS (Hébergeur de Données de Santé)</w:t>
      </w:r>
    </w:p>
    <w:p w14:paraId="3F4691E8">
      <w:pPr>
        <w:spacing w:before="100" w:after="100"/>
      </w:pPr>
      <w:r>
        <w:rPr>
          <w:rFonts w:ascii="Arial" w:hAnsi="Arial" w:eastAsia="Arial" w:cs="Arial"/>
          <w:sz w:val="22"/>
          <w:szCs w:val="22"/>
        </w:rPr>
        <w:t>Toute application hébergeant des données de santé à caractère personnel en France doit faire appel à un hébergeur certifié HDS, conformément à l'article L.1111-8 du Code de la santé publique.</w:t>
      </w:r>
    </w:p>
    <w:p w14:paraId="5BB57927">
      <w:pPr>
        <w:pStyle w:val="16"/>
        <w:numPr>
          <w:ilvl w:val="0"/>
          <w:numId w:val="1"/>
        </w:numPr>
        <w:spacing w:before="60" w:after="60"/>
      </w:pPr>
      <w:r>
        <w:rPr>
          <w:rFonts w:ascii="Arial" w:hAnsi="Arial" w:eastAsia="Arial" w:cs="Arial"/>
          <w:b w:val="0"/>
          <w:bCs w:val="0"/>
          <w:sz w:val="22"/>
          <w:szCs w:val="22"/>
        </w:rPr>
        <w:t>Certification ISO 27001 obligatoire comme prérequis</w:t>
      </w:r>
    </w:p>
    <w:p w14:paraId="1AACF95A">
      <w:pPr>
        <w:pStyle w:val="16"/>
        <w:numPr>
          <w:ilvl w:val="0"/>
          <w:numId w:val="1"/>
        </w:numPr>
        <w:spacing w:before="60" w:after="60"/>
      </w:pPr>
      <w:r>
        <w:rPr>
          <w:rFonts w:ascii="Arial" w:hAnsi="Arial" w:eastAsia="Arial" w:cs="Arial"/>
          <w:b w:val="0"/>
          <w:bCs w:val="0"/>
          <w:sz w:val="22"/>
          <w:szCs w:val="22"/>
        </w:rPr>
        <w:t>Audit annuel par un organisme accrédité COFRAC</w:t>
      </w:r>
    </w:p>
    <w:p w14:paraId="5DE76962">
      <w:pPr>
        <w:pStyle w:val="16"/>
        <w:numPr>
          <w:ilvl w:val="0"/>
          <w:numId w:val="1"/>
        </w:numPr>
        <w:spacing w:before="60" w:after="60"/>
      </w:pPr>
      <w:r>
        <w:rPr>
          <w:rFonts w:ascii="Arial" w:hAnsi="Arial" w:eastAsia="Arial" w:cs="Arial"/>
          <w:b w:val="0"/>
          <w:bCs w:val="0"/>
          <w:sz w:val="22"/>
          <w:szCs w:val="22"/>
        </w:rPr>
        <w:t>Contrat d'hébergement spécifique avec clauses réglementaires</w:t>
      </w:r>
    </w:p>
    <w:p w14:paraId="7A8FF088">
      <w:pPr>
        <w:pStyle w:val="16"/>
        <w:numPr>
          <w:ilvl w:val="0"/>
          <w:numId w:val="1"/>
        </w:numPr>
        <w:spacing w:before="60" w:after="60"/>
      </w:pPr>
      <w:r>
        <w:rPr>
          <w:rFonts w:ascii="Arial" w:hAnsi="Arial" w:eastAsia="Arial" w:cs="Arial"/>
          <w:b w:val="0"/>
          <w:bCs w:val="0"/>
          <w:sz w:val="22"/>
          <w:szCs w:val="22"/>
        </w:rPr>
        <w:t>Localisation des données sur le territoire français ou européen</w:t>
      </w:r>
    </w:p>
    <w:p w14:paraId="1891D760">
      <w:pPr>
        <w:pStyle w:val="3"/>
        <w:spacing w:before="300" w:after="160"/>
      </w:pPr>
      <w:r>
        <w:rPr>
          <w:rFonts w:ascii="Arial" w:hAnsi="Arial" w:eastAsia="Arial" w:cs="Arial"/>
          <w:b/>
          <w:bCs/>
          <w:color w:val="2E75B6"/>
          <w:sz w:val="26"/>
          <w:szCs w:val="26"/>
        </w:rPr>
        <w:t>4.3 Autres référentiels applicables</w:t>
      </w:r>
    </w:p>
    <w:p w14:paraId="64D2A739">
      <w:pPr>
        <w:pStyle w:val="16"/>
        <w:numPr>
          <w:ilvl w:val="0"/>
          <w:numId w:val="1"/>
        </w:numPr>
        <w:spacing w:before="60" w:after="60"/>
      </w:pPr>
      <w:r>
        <w:rPr>
          <w:rFonts w:ascii="Arial" w:hAnsi="Arial" w:eastAsia="Arial" w:cs="Arial"/>
          <w:b w:val="0"/>
          <w:bCs w:val="0"/>
          <w:sz w:val="22"/>
          <w:szCs w:val="22"/>
        </w:rPr>
        <w:t>PGSSI-S (Politique Générale de Sécurité des Systèmes d'Information de Santé) – ANS</w:t>
      </w:r>
    </w:p>
    <w:p w14:paraId="03BE8BEA">
      <w:pPr>
        <w:pStyle w:val="16"/>
        <w:numPr>
          <w:ilvl w:val="0"/>
          <w:numId w:val="1"/>
        </w:numPr>
        <w:spacing w:before="60" w:after="60"/>
      </w:pPr>
      <w:r>
        <w:rPr>
          <w:rFonts w:ascii="Arial" w:hAnsi="Arial" w:eastAsia="Arial" w:cs="Arial"/>
          <w:b w:val="0"/>
          <w:bCs w:val="0"/>
          <w:sz w:val="22"/>
          <w:szCs w:val="22"/>
        </w:rPr>
        <w:t>Référentiel d'identification électronique des professionnels de santé (Pro Santé Connect)</w:t>
      </w:r>
    </w:p>
    <w:p w14:paraId="6CE23B3D">
      <w:pPr>
        <w:pStyle w:val="16"/>
        <w:numPr>
          <w:ilvl w:val="0"/>
          <w:numId w:val="1"/>
        </w:numPr>
        <w:spacing w:before="60" w:after="60"/>
      </w:pPr>
      <w:r>
        <w:rPr>
          <w:rFonts w:ascii="Arial" w:hAnsi="Arial" w:eastAsia="Arial" w:cs="Arial"/>
          <w:b w:val="0"/>
          <w:bCs w:val="0"/>
          <w:sz w:val="22"/>
          <w:szCs w:val="22"/>
        </w:rPr>
        <w:t>Directive NIS 2 pour les opérateurs de services essentiels</w:t>
      </w:r>
    </w:p>
    <w:p w14:paraId="2DB5D228">
      <w:r>
        <w:br w:type="page"/>
      </w:r>
    </w:p>
    <w:p w14:paraId="3038010A">
      <w:pPr>
        <w:pStyle w:val="2"/>
        <w:spacing w:before="400" w:after="200"/>
      </w:pPr>
      <w:r>
        <w:rPr>
          <w:rFonts w:ascii="Arial" w:hAnsi="Arial" w:eastAsia="Arial" w:cs="Arial"/>
          <w:b/>
          <w:bCs/>
          <w:color w:val="1F5C99"/>
          <w:sz w:val="32"/>
          <w:szCs w:val="32"/>
        </w:rPr>
        <w:t>5. Exigences de sécurité</w:t>
      </w:r>
    </w:p>
    <w:p w14:paraId="32108C74">
      <w:pPr>
        <w:pStyle w:val="3"/>
        <w:spacing w:before="300" w:after="160"/>
      </w:pPr>
      <w:r>
        <w:rPr>
          <w:rFonts w:ascii="Arial" w:hAnsi="Arial" w:eastAsia="Arial" w:cs="Arial"/>
          <w:b/>
          <w:bCs/>
          <w:color w:val="2E75B6"/>
          <w:sz w:val="26"/>
          <w:szCs w:val="26"/>
        </w:rPr>
        <w:t>5.1 Confidentialité</w:t>
      </w:r>
    </w:p>
    <w:p w14:paraId="5D6B0160">
      <w:pPr>
        <w:pStyle w:val="16"/>
        <w:numPr>
          <w:ilvl w:val="0"/>
          <w:numId w:val="1"/>
        </w:numPr>
        <w:spacing w:before="60" w:after="60"/>
      </w:pPr>
      <w:r>
        <w:rPr>
          <w:rFonts w:ascii="Arial" w:hAnsi="Arial" w:eastAsia="Arial" w:cs="Arial"/>
          <w:b w:val="0"/>
          <w:bCs w:val="0"/>
          <w:sz w:val="22"/>
          <w:szCs w:val="22"/>
        </w:rPr>
        <w:t>Chiffrement des données au repos (AES-256) et en transit (TLS 1.3 minimum)</w:t>
      </w:r>
    </w:p>
    <w:p w14:paraId="14C988D0">
      <w:pPr>
        <w:pStyle w:val="16"/>
        <w:numPr>
          <w:ilvl w:val="0"/>
          <w:numId w:val="1"/>
        </w:numPr>
        <w:spacing w:before="60" w:after="60"/>
      </w:pPr>
      <w:r>
        <w:rPr>
          <w:rFonts w:ascii="Arial" w:hAnsi="Arial" w:eastAsia="Arial" w:cs="Arial"/>
          <w:b w:val="0"/>
          <w:bCs w:val="0"/>
          <w:sz w:val="22"/>
          <w:szCs w:val="22"/>
        </w:rPr>
        <w:t>Contrôle d'accès basé sur les rôles (RBAC) : patient, médecin, administrateur</w:t>
      </w:r>
    </w:p>
    <w:p w14:paraId="5DAC1864">
      <w:pPr>
        <w:pStyle w:val="16"/>
        <w:numPr>
          <w:ilvl w:val="0"/>
          <w:numId w:val="1"/>
        </w:numPr>
        <w:spacing w:before="60" w:after="60"/>
      </w:pPr>
      <w:r>
        <w:rPr>
          <w:rFonts w:ascii="Arial" w:hAnsi="Arial" w:eastAsia="Arial" w:cs="Arial"/>
          <w:b w:val="0"/>
          <w:bCs w:val="0"/>
          <w:sz w:val="22"/>
          <w:szCs w:val="22"/>
        </w:rPr>
        <w:t>Authentification multifacteur (MFA) obligatoire pour tous les professionnels de santé</w:t>
      </w:r>
    </w:p>
    <w:p w14:paraId="52241917">
      <w:pPr>
        <w:pStyle w:val="16"/>
        <w:numPr>
          <w:ilvl w:val="0"/>
          <w:numId w:val="1"/>
        </w:numPr>
        <w:spacing w:before="60" w:after="60"/>
      </w:pPr>
      <w:r>
        <w:rPr>
          <w:rFonts w:ascii="Arial" w:hAnsi="Arial" w:eastAsia="Arial" w:cs="Arial"/>
          <w:b w:val="0"/>
          <w:bCs w:val="0"/>
          <w:sz w:val="22"/>
          <w:szCs w:val="22"/>
        </w:rPr>
        <w:t>Principe du moindre privilège : chaque acteur n'accède qu'aux données strictement nécessaires</w:t>
      </w:r>
    </w:p>
    <w:p w14:paraId="4200A4E4">
      <w:pPr>
        <w:pStyle w:val="16"/>
        <w:numPr>
          <w:ilvl w:val="0"/>
          <w:numId w:val="1"/>
        </w:numPr>
        <w:spacing w:before="60" w:after="60"/>
      </w:pPr>
      <w:r>
        <w:rPr>
          <w:rFonts w:ascii="Arial" w:hAnsi="Arial" w:eastAsia="Arial" w:cs="Arial"/>
          <w:b w:val="0"/>
          <w:bCs w:val="0"/>
          <w:sz w:val="22"/>
          <w:szCs w:val="22"/>
        </w:rPr>
        <w:t>Séparation des environnements : production, test, développement</w:t>
      </w:r>
    </w:p>
    <w:p w14:paraId="29FE06A1">
      <w:pPr>
        <w:pStyle w:val="3"/>
        <w:spacing w:before="300" w:after="160"/>
      </w:pPr>
      <w:r>
        <w:rPr>
          <w:rFonts w:ascii="Arial" w:hAnsi="Arial" w:eastAsia="Arial" w:cs="Arial"/>
          <w:b/>
          <w:bCs/>
          <w:color w:val="2E75B6"/>
          <w:sz w:val="26"/>
          <w:szCs w:val="26"/>
        </w:rPr>
        <w:t>5.2 Intégrité</w:t>
      </w:r>
    </w:p>
    <w:p w14:paraId="68CFE21A">
      <w:pPr>
        <w:pStyle w:val="16"/>
        <w:numPr>
          <w:ilvl w:val="0"/>
          <w:numId w:val="1"/>
        </w:numPr>
        <w:spacing w:before="60" w:after="60"/>
      </w:pPr>
      <w:r>
        <w:rPr>
          <w:rFonts w:ascii="Arial" w:hAnsi="Arial" w:eastAsia="Arial" w:cs="Arial"/>
          <w:b w:val="0"/>
          <w:bCs w:val="0"/>
          <w:sz w:val="22"/>
          <w:szCs w:val="22"/>
        </w:rPr>
        <w:t>Signature numérique des documents médicaux critiques</w:t>
      </w:r>
    </w:p>
    <w:p w14:paraId="1CCCBFD8">
      <w:pPr>
        <w:pStyle w:val="16"/>
        <w:numPr>
          <w:ilvl w:val="0"/>
          <w:numId w:val="1"/>
        </w:numPr>
        <w:spacing w:before="60" w:after="60"/>
      </w:pPr>
      <w:r>
        <w:rPr>
          <w:rFonts w:ascii="Arial" w:hAnsi="Arial" w:eastAsia="Arial" w:cs="Arial"/>
          <w:b w:val="0"/>
          <w:bCs w:val="0"/>
          <w:sz w:val="22"/>
          <w:szCs w:val="22"/>
        </w:rPr>
        <w:t>Hachage des données sensibles pour détecter toute altération (SHA-256)</w:t>
      </w:r>
    </w:p>
    <w:p w14:paraId="0424AD3C">
      <w:pPr>
        <w:pStyle w:val="16"/>
        <w:numPr>
          <w:ilvl w:val="0"/>
          <w:numId w:val="1"/>
        </w:numPr>
        <w:spacing w:before="60" w:after="60"/>
      </w:pPr>
      <w:r>
        <w:rPr>
          <w:rFonts w:ascii="Arial" w:hAnsi="Arial" w:eastAsia="Arial" w:cs="Arial"/>
          <w:b w:val="0"/>
          <w:bCs w:val="0"/>
          <w:sz w:val="22"/>
          <w:szCs w:val="22"/>
        </w:rPr>
        <w:t>Journalisation immuable de toutes les modifications (audit trail)</w:t>
      </w:r>
    </w:p>
    <w:p w14:paraId="64317F72">
      <w:pPr>
        <w:pStyle w:val="16"/>
        <w:numPr>
          <w:ilvl w:val="0"/>
          <w:numId w:val="1"/>
        </w:numPr>
        <w:spacing w:before="60" w:after="60"/>
      </w:pPr>
      <w:r>
        <w:rPr>
          <w:rFonts w:ascii="Arial" w:hAnsi="Arial" w:eastAsia="Arial" w:cs="Arial"/>
          <w:b w:val="0"/>
          <w:bCs w:val="0"/>
          <w:sz w:val="22"/>
          <w:szCs w:val="22"/>
        </w:rPr>
        <w:t>Contrôle de l'intégrité des fichiers de configuration</w:t>
      </w:r>
    </w:p>
    <w:p w14:paraId="52BC5632">
      <w:pPr>
        <w:pStyle w:val="3"/>
        <w:spacing w:before="300" w:after="160"/>
      </w:pPr>
      <w:r>
        <w:rPr>
          <w:rFonts w:ascii="Arial" w:hAnsi="Arial" w:eastAsia="Arial" w:cs="Arial"/>
          <w:b/>
          <w:bCs/>
          <w:color w:val="2E75B6"/>
          <w:sz w:val="26"/>
          <w:szCs w:val="26"/>
        </w:rPr>
        <w:t>5.3 Disponibilité</w:t>
      </w:r>
    </w:p>
    <w:p w14:paraId="3E423473">
      <w:pPr>
        <w:pStyle w:val="16"/>
        <w:numPr>
          <w:ilvl w:val="0"/>
          <w:numId w:val="1"/>
        </w:numPr>
        <w:spacing w:before="60" w:after="60"/>
      </w:pPr>
      <w:r>
        <w:rPr>
          <w:rFonts w:ascii="Arial" w:hAnsi="Arial" w:eastAsia="Arial" w:cs="Arial"/>
          <w:b w:val="0"/>
          <w:bCs w:val="0"/>
          <w:sz w:val="22"/>
          <w:szCs w:val="22"/>
        </w:rPr>
        <w:t>RTO (Recovery Time Objective) : 4 heures maximum pour les services critiques</w:t>
      </w:r>
    </w:p>
    <w:p w14:paraId="2F5E323D">
      <w:pPr>
        <w:pStyle w:val="16"/>
        <w:numPr>
          <w:ilvl w:val="0"/>
          <w:numId w:val="1"/>
        </w:numPr>
        <w:spacing w:before="60" w:after="60"/>
      </w:pPr>
      <w:r>
        <w:rPr>
          <w:rFonts w:ascii="Arial" w:hAnsi="Arial" w:eastAsia="Arial" w:cs="Arial"/>
          <w:b w:val="0"/>
          <w:bCs w:val="0"/>
          <w:sz w:val="22"/>
          <w:szCs w:val="22"/>
        </w:rPr>
        <w:t>RPO (Recovery Point Objective) : 1 heure maximum</w:t>
      </w:r>
    </w:p>
    <w:p w14:paraId="516E9BD4">
      <w:pPr>
        <w:pStyle w:val="16"/>
        <w:numPr>
          <w:ilvl w:val="0"/>
          <w:numId w:val="1"/>
        </w:numPr>
        <w:spacing w:before="60" w:after="60"/>
      </w:pPr>
      <w:r>
        <w:rPr>
          <w:rFonts w:ascii="Arial" w:hAnsi="Arial" w:eastAsia="Arial" w:cs="Arial"/>
          <w:b w:val="0"/>
          <w:bCs w:val="0"/>
          <w:sz w:val="22"/>
          <w:szCs w:val="22"/>
        </w:rPr>
        <w:t>Redondance géographique des données (réplication multi-zones)</w:t>
      </w:r>
    </w:p>
    <w:p w14:paraId="69C52073">
      <w:pPr>
        <w:pStyle w:val="16"/>
        <w:numPr>
          <w:ilvl w:val="0"/>
          <w:numId w:val="1"/>
        </w:numPr>
        <w:spacing w:before="60" w:after="60"/>
      </w:pPr>
      <w:r>
        <w:rPr>
          <w:rFonts w:ascii="Arial" w:hAnsi="Arial" w:eastAsia="Arial" w:cs="Arial"/>
          <w:b w:val="0"/>
          <w:bCs w:val="0"/>
          <w:sz w:val="22"/>
          <w:szCs w:val="22"/>
        </w:rPr>
        <w:t>Plan de continuité d'activité (PCA) et plan de reprise d'activité (PRA)</w:t>
      </w:r>
    </w:p>
    <w:p w14:paraId="50EBBE74">
      <w:pPr>
        <w:pStyle w:val="16"/>
        <w:numPr>
          <w:ilvl w:val="0"/>
          <w:numId w:val="1"/>
        </w:numPr>
        <w:spacing w:before="60" w:after="60"/>
      </w:pPr>
      <w:r>
        <w:rPr>
          <w:rFonts w:ascii="Arial" w:hAnsi="Arial" w:eastAsia="Arial" w:cs="Arial"/>
          <w:b w:val="0"/>
          <w:bCs w:val="0"/>
          <w:sz w:val="22"/>
          <w:szCs w:val="22"/>
        </w:rPr>
        <w:t>Tests de basculement semestriels</w:t>
      </w:r>
    </w:p>
    <w:p w14:paraId="33B7A4DE">
      <w:pPr>
        <w:pStyle w:val="3"/>
        <w:spacing w:before="300" w:after="160"/>
      </w:pPr>
      <w:r>
        <w:rPr>
          <w:rFonts w:ascii="Arial" w:hAnsi="Arial" w:eastAsia="Arial" w:cs="Arial"/>
          <w:b/>
          <w:bCs/>
          <w:color w:val="2E75B6"/>
          <w:sz w:val="26"/>
          <w:szCs w:val="26"/>
        </w:rPr>
        <w:t>5.4 Traçabilité et auditabilité</w:t>
      </w:r>
    </w:p>
    <w:p w14:paraId="6B1215F8">
      <w:pPr>
        <w:pStyle w:val="16"/>
        <w:numPr>
          <w:ilvl w:val="0"/>
          <w:numId w:val="1"/>
        </w:numPr>
        <w:spacing w:before="60" w:after="60"/>
      </w:pPr>
      <w:r>
        <w:rPr>
          <w:rFonts w:ascii="Arial" w:hAnsi="Arial" w:eastAsia="Arial" w:cs="Arial"/>
          <w:b w:val="0"/>
          <w:bCs w:val="0"/>
          <w:sz w:val="22"/>
          <w:szCs w:val="22"/>
        </w:rPr>
        <w:t>Journalisation de tous les accès aux données sensibles (qui, quand, quelle donnée)</w:t>
      </w:r>
    </w:p>
    <w:p w14:paraId="6855FE52">
      <w:pPr>
        <w:pStyle w:val="16"/>
        <w:numPr>
          <w:ilvl w:val="0"/>
          <w:numId w:val="1"/>
        </w:numPr>
        <w:spacing w:before="60" w:after="60"/>
      </w:pPr>
      <w:r>
        <w:rPr>
          <w:rFonts w:ascii="Arial" w:hAnsi="Arial" w:eastAsia="Arial" w:cs="Arial"/>
          <w:b w:val="0"/>
          <w:bCs w:val="0"/>
          <w:sz w:val="22"/>
          <w:szCs w:val="22"/>
        </w:rPr>
        <w:t>Conservation des journaux d'audit pendant 5 ans minimum</w:t>
      </w:r>
    </w:p>
    <w:p w14:paraId="00019A29">
      <w:pPr>
        <w:pStyle w:val="16"/>
        <w:numPr>
          <w:ilvl w:val="0"/>
          <w:numId w:val="1"/>
        </w:numPr>
        <w:spacing w:before="60" w:after="60"/>
      </w:pPr>
      <w:r>
        <w:rPr>
          <w:rFonts w:ascii="Arial" w:hAnsi="Arial" w:eastAsia="Arial" w:cs="Arial"/>
          <w:b w:val="0"/>
          <w:bCs w:val="0"/>
          <w:sz w:val="22"/>
          <w:szCs w:val="22"/>
        </w:rPr>
        <w:t>Alertes en temps réel sur les accès anormaux</w:t>
      </w:r>
    </w:p>
    <w:p w14:paraId="3734231B">
      <w:pPr>
        <w:pStyle w:val="16"/>
        <w:numPr>
          <w:ilvl w:val="0"/>
          <w:numId w:val="1"/>
        </w:numPr>
        <w:spacing w:before="60" w:after="60"/>
      </w:pPr>
      <w:r>
        <w:rPr>
          <w:rFonts w:ascii="Arial" w:hAnsi="Arial" w:eastAsia="Arial" w:cs="Arial"/>
          <w:b w:val="0"/>
          <w:bCs w:val="0"/>
          <w:sz w:val="22"/>
          <w:szCs w:val="22"/>
        </w:rPr>
        <w:t>Piste d'audit non modifiable (write-once storage)</w:t>
      </w:r>
    </w:p>
    <w:p w14:paraId="3D4D2450">
      <w:r>
        <w:br w:type="page"/>
      </w:r>
    </w:p>
    <w:p w14:paraId="112A139A">
      <w:pPr>
        <w:pStyle w:val="2"/>
        <w:spacing w:before="400" w:after="200"/>
      </w:pPr>
      <w:r>
        <w:rPr>
          <w:rFonts w:ascii="Arial" w:hAnsi="Arial" w:eastAsia="Arial" w:cs="Arial"/>
          <w:b/>
          <w:bCs/>
          <w:color w:val="1F5C99"/>
          <w:sz w:val="32"/>
          <w:szCs w:val="32"/>
        </w:rPr>
        <w:t>6. Architecture cible détaillée</w:t>
      </w:r>
    </w:p>
    <w:p w14:paraId="231F7E7D">
      <w:pPr>
        <w:pStyle w:val="3"/>
        <w:spacing w:before="300" w:after="160"/>
      </w:pPr>
      <w:r>
        <w:rPr>
          <w:rFonts w:ascii="Arial" w:hAnsi="Arial" w:eastAsia="Arial" w:cs="Arial"/>
          <w:b/>
          <w:bCs/>
          <w:color w:val="2E75B6"/>
          <w:sz w:val="26"/>
          <w:szCs w:val="26"/>
        </w:rPr>
        <w:t>6.1 Vue d'ensemble</w:t>
      </w:r>
    </w:p>
    <w:p w14:paraId="6943C06C">
      <w:pPr>
        <w:spacing w:before="100" w:after="100"/>
      </w:pPr>
      <w:r>
        <w:rPr>
          <w:rFonts w:ascii="Arial" w:hAnsi="Arial" w:eastAsia="Arial" w:cs="Arial"/>
          <w:sz w:val="22"/>
          <w:szCs w:val="22"/>
        </w:rPr>
        <w:t>L'architecture cible adopte le modèle Zero Trust : aucun utilisateur ni composant n'est considéré comme fiable par défaut. Chaque accès est authentifié, autorisé et journalisé.</w:t>
      </w:r>
    </w:p>
    <w:p w14:paraId="12CA3D83">
      <w:pPr>
        <w:pStyle w:val="3"/>
        <w:spacing w:before="300" w:after="160"/>
      </w:pPr>
      <w:r>
        <w:rPr>
          <w:rFonts w:ascii="Arial" w:hAnsi="Arial" w:eastAsia="Arial" w:cs="Arial"/>
          <w:b/>
          <w:bCs/>
          <w:color w:val="2E75B6"/>
          <w:sz w:val="26"/>
          <w:szCs w:val="26"/>
        </w:rPr>
        <w:t>6.2 Couches de l'architecture</w:t>
      </w:r>
    </w:p>
    <w:p w14:paraId="1EF3DEF2">
      <w:pPr>
        <w:pStyle w:val="4"/>
        <w:spacing w:before="200" w:after="120"/>
      </w:pPr>
      <w:r>
        <w:rPr>
          <w:rFonts w:ascii="Arial" w:hAnsi="Arial" w:eastAsia="Arial" w:cs="Arial"/>
          <w:b/>
          <w:bCs/>
          <w:color w:val="404040"/>
          <w:sz w:val="24"/>
          <w:szCs w:val="24"/>
        </w:rPr>
        <w:t>6.2.1 Couche présentation (Frontend)</w:t>
      </w:r>
    </w:p>
    <w:p w14:paraId="18FB250A">
      <w:pPr>
        <w:pStyle w:val="16"/>
        <w:numPr>
          <w:ilvl w:val="0"/>
          <w:numId w:val="1"/>
        </w:numPr>
        <w:spacing w:before="60" w:after="60"/>
      </w:pPr>
      <w:r>
        <w:rPr>
          <w:rFonts w:ascii="Arial" w:hAnsi="Arial" w:eastAsia="Arial" w:cs="Arial"/>
          <w:b w:val="0"/>
          <w:bCs w:val="0"/>
          <w:sz w:val="22"/>
          <w:szCs w:val="22"/>
        </w:rPr>
        <w:t>Application web (HTTPS obligatoire, HSTS activé)</w:t>
      </w:r>
    </w:p>
    <w:p w14:paraId="1FB639E1">
      <w:pPr>
        <w:pStyle w:val="16"/>
        <w:numPr>
          <w:ilvl w:val="0"/>
          <w:numId w:val="1"/>
        </w:numPr>
        <w:spacing w:before="60" w:after="60"/>
      </w:pPr>
      <w:r>
        <w:rPr>
          <w:rFonts w:ascii="Arial" w:hAnsi="Arial" w:eastAsia="Arial" w:cs="Arial"/>
          <w:b w:val="0"/>
          <w:bCs w:val="0"/>
          <w:sz w:val="22"/>
          <w:szCs w:val="22"/>
        </w:rPr>
        <w:t>Application mobile (certificat épinglé - certificate pinning)</w:t>
      </w:r>
    </w:p>
    <w:p w14:paraId="00E18694">
      <w:pPr>
        <w:pStyle w:val="16"/>
        <w:numPr>
          <w:ilvl w:val="0"/>
          <w:numId w:val="1"/>
        </w:numPr>
        <w:spacing w:before="60" w:after="60"/>
      </w:pPr>
      <w:r>
        <w:rPr>
          <w:rFonts w:ascii="Arial" w:hAnsi="Arial" w:eastAsia="Arial" w:cs="Arial"/>
          <w:b w:val="0"/>
          <w:bCs w:val="0"/>
          <w:sz w:val="22"/>
          <w:szCs w:val="22"/>
        </w:rPr>
        <w:t>WAF (Web Application Firewall) devant toutes les interfaces</w:t>
      </w:r>
    </w:p>
    <w:p w14:paraId="39F1CC54">
      <w:pPr>
        <w:pStyle w:val="16"/>
        <w:numPr>
          <w:ilvl w:val="0"/>
          <w:numId w:val="1"/>
        </w:numPr>
        <w:spacing w:before="60" w:after="60"/>
      </w:pPr>
      <w:r>
        <w:rPr>
          <w:rFonts w:ascii="Arial" w:hAnsi="Arial" w:eastAsia="Arial" w:cs="Arial"/>
          <w:b w:val="0"/>
          <w:bCs w:val="0"/>
          <w:sz w:val="22"/>
          <w:szCs w:val="22"/>
        </w:rPr>
        <w:t>Protection CSRF, XSS et injection SQL au niveau applicatif</w:t>
      </w:r>
    </w:p>
    <w:p w14:paraId="210BE060">
      <w:pPr>
        <w:pStyle w:val="4"/>
        <w:spacing w:before="200" w:after="120"/>
      </w:pPr>
      <w:r>
        <w:rPr>
          <w:rFonts w:ascii="Arial" w:hAnsi="Arial" w:eastAsia="Arial" w:cs="Arial"/>
          <w:b/>
          <w:bCs/>
          <w:color w:val="404040"/>
          <w:sz w:val="24"/>
          <w:szCs w:val="24"/>
        </w:rPr>
        <w:t>6.2.2 Couche API Gateway</w:t>
      </w:r>
    </w:p>
    <w:p w14:paraId="2AEA8AB3">
      <w:pPr>
        <w:pStyle w:val="16"/>
        <w:numPr>
          <w:ilvl w:val="0"/>
          <w:numId w:val="1"/>
        </w:numPr>
        <w:spacing w:before="60" w:after="60"/>
      </w:pPr>
      <w:r>
        <w:rPr>
          <w:rFonts w:ascii="Arial" w:hAnsi="Arial" w:eastAsia="Arial" w:cs="Arial"/>
          <w:b w:val="0"/>
          <w:bCs w:val="0"/>
          <w:sz w:val="22"/>
          <w:szCs w:val="22"/>
        </w:rPr>
        <w:t>Authentification JWT avec rotation automatique des clés</w:t>
      </w:r>
    </w:p>
    <w:p w14:paraId="5B97BC76">
      <w:pPr>
        <w:pStyle w:val="16"/>
        <w:numPr>
          <w:ilvl w:val="0"/>
          <w:numId w:val="1"/>
        </w:numPr>
        <w:spacing w:before="60" w:after="60"/>
      </w:pPr>
      <w:r>
        <w:rPr>
          <w:rFonts w:ascii="Arial" w:hAnsi="Arial" w:eastAsia="Arial" w:cs="Arial"/>
          <w:b w:val="0"/>
          <w:bCs w:val="0"/>
          <w:sz w:val="22"/>
          <w:szCs w:val="22"/>
        </w:rPr>
        <w:t>Rate limiting et protection anti-DDoS</w:t>
      </w:r>
    </w:p>
    <w:p w14:paraId="6343E6C1">
      <w:pPr>
        <w:pStyle w:val="16"/>
        <w:numPr>
          <w:ilvl w:val="0"/>
          <w:numId w:val="1"/>
        </w:numPr>
        <w:spacing w:before="60" w:after="60"/>
      </w:pPr>
      <w:r>
        <w:rPr>
          <w:rFonts w:ascii="Arial" w:hAnsi="Arial" w:eastAsia="Arial" w:cs="Arial"/>
          <w:b w:val="0"/>
          <w:bCs w:val="0"/>
          <w:sz w:val="22"/>
          <w:szCs w:val="22"/>
        </w:rPr>
        <w:t>Validation et filtrage de toutes les requêtes entrantes</w:t>
      </w:r>
    </w:p>
    <w:p w14:paraId="5667EACF">
      <w:pPr>
        <w:pStyle w:val="16"/>
        <w:numPr>
          <w:ilvl w:val="0"/>
          <w:numId w:val="1"/>
        </w:numPr>
        <w:spacing w:before="60" w:after="60"/>
      </w:pPr>
      <w:r>
        <w:rPr>
          <w:rFonts w:ascii="Arial" w:hAnsi="Arial" w:eastAsia="Arial" w:cs="Arial"/>
          <w:b w:val="0"/>
          <w:bCs w:val="0"/>
          <w:sz w:val="22"/>
          <w:szCs w:val="22"/>
        </w:rPr>
        <w:t>Logging centralisé de tous les appels API</w:t>
      </w:r>
    </w:p>
    <w:p w14:paraId="68A1A0B1">
      <w:pPr>
        <w:pStyle w:val="4"/>
        <w:spacing w:before="200" w:after="120"/>
      </w:pPr>
      <w:r>
        <w:rPr>
          <w:rFonts w:ascii="Arial" w:hAnsi="Arial" w:eastAsia="Arial" w:cs="Arial"/>
          <w:b/>
          <w:bCs/>
          <w:color w:val="404040"/>
          <w:sz w:val="24"/>
          <w:szCs w:val="24"/>
        </w:rPr>
        <w:t>6.2.3 Couche applicative (Microservices)</w:t>
      </w:r>
    </w:p>
    <w:p w14:paraId="4C900286">
      <w:pPr>
        <w:pStyle w:val="16"/>
        <w:numPr>
          <w:ilvl w:val="0"/>
          <w:numId w:val="1"/>
        </w:numPr>
        <w:spacing w:before="60" w:after="60"/>
      </w:pPr>
      <w:r>
        <w:rPr>
          <w:rFonts w:ascii="Arial" w:hAnsi="Arial" w:eastAsia="Arial" w:cs="Arial"/>
          <w:b w:val="0"/>
          <w:bCs w:val="0"/>
          <w:sz w:val="22"/>
          <w:szCs w:val="22"/>
        </w:rPr>
        <w:t>Service d'identité : gestion des utilisateurs et des sessions (Keycloak / OAuth 2.0 + OIDC)</w:t>
      </w:r>
    </w:p>
    <w:p w14:paraId="4142EF14">
      <w:pPr>
        <w:pStyle w:val="16"/>
        <w:numPr>
          <w:ilvl w:val="0"/>
          <w:numId w:val="1"/>
        </w:numPr>
        <w:spacing w:before="60" w:after="60"/>
      </w:pPr>
      <w:r>
        <w:rPr>
          <w:rFonts w:ascii="Arial" w:hAnsi="Arial" w:eastAsia="Arial" w:cs="Arial"/>
          <w:b w:val="0"/>
          <w:bCs w:val="0"/>
          <w:sz w:val="22"/>
          <w:szCs w:val="22"/>
        </w:rPr>
        <w:t>Service médical : accès aux DMP, ordonnances, résultats</w:t>
      </w:r>
    </w:p>
    <w:p w14:paraId="7EEE26A1">
      <w:pPr>
        <w:pStyle w:val="16"/>
        <w:numPr>
          <w:ilvl w:val="0"/>
          <w:numId w:val="1"/>
        </w:numPr>
        <w:spacing w:before="60" w:after="60"/>
      </w:pPr>
      <w:r>
        <w:rPr>
          <w:rFonts w:ascii="Arial" w:hAnsi="Arial" w:eastAsia="Arial" w:cs="Arial"/>
          <w:b w:val="0"/>
          <w:bCs w:val="0"/>
          <w:sz w:val="22"/>
          <w:szCs w:val="22"/>
        </w:rPr>
        <w:t>Service messagerie : messagerie sécurisée bout-en-bout chiffrée</w:t>
      </w:r>
    </w:p>
    <w:p w14:paraId="597E7570">
      <w:pPr>
        <w:pStyle w:val="16"/>
        <w:numPr>
          <w:ilvl w:val="0"/>
          <w:numId w:val="1"/>
        </w:numPr>
        <w:spacing w:before="60" w:after="60"/>
      </w:pPr>
      <w:r>
        <w:rPr>
          <w:rFonts w:ascii="Arial" w:hAnsi="Arial" w:eastAsia="Arial" w:cs="Arial"/>
          <w:b w:val="0"/>
          <w:bCs w:val="0"/>
          <w:sz w:val="22"/>
          <w:szCs w:val="22"/>
        </w:rPr>
        <w:t>Service notification : alertes et rappels (sans données sensibles dans le payload)</w:t>
      </w:r>
    </w:p>
    <w:p w14:paraId="394FDB7E">
      <w:pPr>
        <w:pStyle w:val="16"/>
        <w:numPr>
          <w:ilvl w:val="0"/>
          <w:numId w:val="1"/>
        </w:numPr>
        <w:spacing w:before="60" w:after="60"/>
      </w:pPr>
      <w:r>
        <w:rPr>
          <w:rFonts w:ascii="Arial" w:hAnsi="Arial" w:eastAsia="Arial" w:cs="Arial"/>
          <w:b w:val="0"/>
          <w:bCs w:val="0"/>
          <w:sz w:val="22"/>
          <w:szCs w:val="22"/>
        </w:rPr>
        <w:t>Communication inter-services via mTLS (mutual TLS)</w:t>
      </w:r>
    </w:p>
    <w:p w14:paraId="17B21A91">
      <w:pPr>
        <w:pStyle w:val="4"/>
        <w:spacing w:before="200" w:after="120"/>
      </w:pPr>
      <w:r>
        <w:rPr>
          <w:rFonts w:ascii="Arial" w:hAnsi="Arial" w:eastAsia="Arial" w:cs="Arial"/>
          <w:b/>
          <w:bCs/>
          <w:color w:val="404040"/>
          <w:sz w:val="24"/>
          <w:szCs w:val="24"/>
        </w:rPr>
        <w:t>6.2.4 Couche données</w:t>
      </w:r>
    </w:p>
    <w:p w14:paraId="1328DB90">
      <w:pPr>
        <w:pStyle w:val="16"/>
        <w:numPr>
          <w:ilvl w:val="0"/>
          <w:numId w:val="1"/>
        </w:numPr>
        <w:spacing w:before="60" w:after="60"/>
      </w:pPr>
      <w:r>
        <w:rPr>
          <w:rFonts w:ascii="Arial" w:hAnsi="Arial" w:eastAsia="Arial" w:cs="Arial"/>
          <w:b w:val="0"/>
          <w:bCs w:val="0"/>
          <w:sz w:val="22"/>
          <w:szCs w:val="22"/>
        </w:rPr>
        <w:t>Base de données principale : PostgreSQL avec chiffrement transparent (TDE)</w:t>
      </w:r>
    </w:p>
    <w:p w14:paraId="3F1518F9">
      <w:pPr>
        <w:pStyle w:val="16"/>
        <w:numPr>
          <w:ilvl w:val="0"/>
          <w:numId w:val="1"/>
        </w:numPr>
        <w:spacing w:before="60" w:after="60"/>
      </w:pPr>
      <w:r>
        <w:rPr>
          <w:rFonts w:ascii="Arial" w:hAnsi="Arial" w:eastAsia="Arial" w:cs="Arial"/>
          <w:b w:val="0"/>
          <w:bCs w:val="0"/>
          <w:sz w:val="22"/>
          <w:szCs w:val="22"/>
        </w:rPr>
        <w:t>Base de documents : stockage chiffré des fichiers médicaux (PDF, imagerie)</w:t>
      </w:r>
    </w:p>
    <w:p w14:paraId="7DB22279">
      <w:pPr>
        <w:pStyle w:val="16"/>
        <w:numPr>
          <w:ilvl w:val="0"/>
          <w:numId w:val="1"/>
        </w:numPr>
        <w:spacing w:before="60" w:after="60"/>
      </w:pPr>
      <w:r>
        <w:rPr>
          <w:rFonts w:ascii="Arial" w:hAnsi="Arial" w:eastAsia="Arial" w:cs="Arial"/>
          <w:b w:val="0"/>
          <w:bCs w:val="0"/>
          <w:sz w:val="22"/>
          <w:szCs w:val="22"/>
        </w:rPr>
        <w:t>Cache Redis : données de session uniquement, TTL court (15 min)</w:t>
      </w:r>
    </w:p>
    <w:p w14:paraId="5E1CD906">
      <w:pPr>
        <w:pStyle w:val="16"/>
        <w:numPr>
          <w:ilvl w:val="0"/>
          <w:numId w:val="1"/>
        </w:numPr>
        <w:spacing w:before="60" w:after="60"/>
      </w:pPr>
      <w:r>
        <w:rPr>
          <w:rFonts w:ascii="Arial" w:hAnsi="Arial" w:eastAsia="Arial" w:cs="Arial"/>
          <w:b w:val="0"/>
          <w:bCs w:val="0"/>
          <w:sz w:val="22"/>
          <w:szCs w:val="22"/>
        </w:rPr>
        <w:t>Clés de chiffrement gérées par un HSM ou un service KMS dédié (ex: HashiCorp Vault)</w:t>
      </w:r>
    </w:p>
    <w:p w14:paraId="74461433">
      <w:pPr>
        <w:pStyle w:val="4"/>
        <w:spacing w:before="200" w:after="120"/>
      </w:pPr>
      <w:r>
        <w:rPr>
          <w:rFonts w:ascii="Arial" w:hAnsi="Arial" w:eastAsia="Arial" w:cs="Arial"/>
          <w:b/>
          <w:bCs/>
          <w:color w:val="404040"/>
          <w:sz w:val="24"/>
          <w:szCs w:val="24"/>
        </w:rPr>
        <w:t>6.2.5 Couche sécurité transverse</w:t>
      </w:r>
    </w:p>
    <w:p w14:paraId="57C92A99">
      <w:pPr>
        <w:pStyle w:val="16"/>
        <w:numPr>
          <w:ilvl w:val="0"/>
          <w:numId w:val="1"/>
        </w:numPr>
        <w:spacing w:before="60" w:after="60"/>
      </w:pPr>
      <w:r>
        <w:rPr>
          <w:rFonts w:ascii="Arial" w:hAnsi="Arial" w:eastAsia="Arial" w:cs="Arial"/>
          <w:b w:val="0"/>
          <w:bCs w:val="0"/>
          <w:sz w:val="22"/>
          <w:szCs w:val="22"/>
        </w:rPr>
        <w:t>IAM centralisé (Identity and Access Management)</w:t>
      </w:r>
    </w:p>
    <w:p w14:paraId="10797B00">
      <w:pPr>
        <w:pStyle w:val="16"/>
        <w:numPr>
          <w:ilvl w:val="0"/>
          <w:numId w:val="1"/>
        </w:numPr>
        <w:spacing w:before="60" w:after="60"/>
      </w:pPr>
      <w:r>
        <w:rPr>
          <w:rFonts w:ascii="Arial" w:hAnsi="Arial" w:eastAsia="Arial" w:cs="Arial"/>
          <w:b w:val="0"/>
          <w:bCs w:val="0"/>
          <w:sz w:val="22"/>
          <w:szCs w:val="22"/>
        </w:rPr>
        <w:t>SIEM (Security Information and Event Management) pour la détection d'incidents</w:t>
      </w:r>
    </w:p>
    <w:p w14:paraId="2621D71A">
      <w:pPr>
        <w:pStyle w:val="16"/>
        <w:numPr>
          <w:ilvl w:val="0"/>
          <w:numId w:val="1"/>
        </w:numPr>
        <w:spacing w:before="60" w:after="60"/>
      </w:pPr>
      <w:r>
        <w:rPr>
          <w:rFonts w:ascii="Arial" w:hAnsi="Arial" w:eastAsia="Arial" w:cs="Arial"/>
          <w:b w:val="0"/>
          <w:bCs w:val="0"/>
          <w:sz w:val="22"/>
          <w:szCs w:val="22"/>
        </w:rPr>
        <w:t>Scanner de vulnérabilités en continu (OWASP ZAP, SonarQube)</w:t>
      </w:r>
    </w:p>
    <w:p w14:paraId="697E57E7">
      <w:pPr>
        <w:pStyle w:val="16"/>
        <w:numPr>
          <w:ilvl w:val="0"/>
          <w:numId w:val="1"/>
        </w:numPr>
        <w:spacing w:before="60" w:after="60"/>
      </w:pPr>
      <w:r>
        <w:rPr>
          <w:rFonts w:ascii="Arial" w:hAnsi="Arial" w:eastAsia="Arial" w:cs="Arial"/>
          <w:b w:val="0"/>
          <w:bCs w:val="0"/>
          <w:sz w:val="22"/>
          <w:szCs w:val="22"/>
        </w:rPr>
        <w:t>Gestion des secrets : HashiCorp Vault ou AWS Secrets Manager</w:t>
      </w:r>
    </w:p>
    <w:p w14:paraId="05B9593C">
      <w:pPr>
        <w:pStyle w:val="3"/>
        <w:spacing w:before="300" w:after="160"/>
      </w:pPr>
      <w:r>
        <w:rPr>
          <w:rFonts w:ascii="Arial" w:hAnsi="Arial" w:eastAsia="Arial" w:cs="Arial"/>
          <w:b/>
          <w:bCs/>
          <w:color w:val="2E75B6"/>
          <w:sz w:val="26"/>
          <w:szCs w:val="26"/>
        </w:rPr>
        <w:t>6.3 Schéma d'architecture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20F4AA7">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200" w:type="dxa"/>
              <w:left w:w="300" w:type="dxa"/>
              <w:bottom w:w="200" w:type="dxa"/>
              <w:right w:w="300" w:type="dxa"/>
            </w:tcMar>
          </w:tcPr>
          <w:p w14:paraId="1070F3D1">
            <w:pPr>
              <w:jc w:val="center"/>
            </w:pPr>
            <w:r>
              <w:rPr>
                <w:rFonts w:ascii="Arial" w:hAnsi="Arial" w:eastAsia="Arial" w:cs="Arial"/>
                <w:b/>
                <w:bCs/>
                <w:sz w:val="22"/>
                <w:szCs w:val="22"/>
              </w:rPr>
              <w:t>[ Utilisateurs : Patients / Médecins / Admins ]</w:t>
            </w:r>
          </w:p>
          <w:p w14:paraId="029F2D64">
            <w:pPr>
              <w:jc w:val="center"/>
            </w:pPr>
            <w:r>
              <w:rPr>
                <w:rFonts w:ascii="Arial" w:hAnsi="Arial" w:eastAsia="Arial" w:cs="Arial"/>
                <w:color w:val="666666"/>
                <w:sz w:val="20"/>
                <w:szCs w:val="20"/>
              </w:rPr>
              <w:t>↕  HTTPS / TLS 1.3</w:t>
            </w:r>
          </w:p>
          <w:p w14:paraId="6B00DF35">
            <w:pPr>
              <w:jc w:val="center"/>
            </w:pPr>
            <w:r>
              <w:rPr>
                <w:rFonts w:ascii="Arial" w:hAnsi="Arial" w:eastAsia="Arial" w:cs="Arial"/>
                <w:b/>
                <w:bCs/>
                <w:color w:val="1F5C99"/>
                <w:sz w:val="22"/>
                <w:szCs w:val="22"/>
              </w:rPr>
              <w:t>[ WAF  +  API Gateway  +  Auth (OAuth2/OIDC) ]</w:t>
            </w:r>
          </w:p>
          <w:p w14:paraId="04DC9E5B">
            <w:pPr>
              <w:jc w:val="center"/>
            </w:pPr>
            <w:r>
              <w:rPr>
                <w:rFonts w:ascii="Arial" w:hAnsi="Arial" w:eastAsia="Arial" w:cs="Arial"/>
                <w:color w:val="666666"/>
                <w:sz w:val="20"/>
                <w:szCs w:val="20"/>
              </w:rPr>
              <w:t>↕  mTLS</w:t>
            </w:r>
          </w:p>
          <w:p w14:paraId="7E300ED6">
            <w:pPr>
              <w:jc w:val="center"/>
            </w:pPr>
            <w:r>
              <w:rPr>
                <w:rFonts w:ascii="Arial" w:hAnsi="Arial" w:eastAsia="Arial" w:cs="Arial"/>
                <w:b/>
                <w:bCs/>
                <w:sz w:val="22"/>
                <w:szCs w:val="22"/>
              </w:rPr>
              <w:t>[ Microservices : Identité | Médical | Messagerie | Notification ]</w:t>
            </w:r>
          </w:p>
          <w:p w14:paraId="45876CB7">
            <w:pPr>
              <w:jc w:val="center"/>
            </w:pPr>
            <w:r>
              <w:rPr>
                <w:rFonts w:ascii="Arial" w:hAnsi="Arial" w:eastAsia="Arial" w:cs="Arial"/>
                <w:color w:val="666666"/>
                <w:sz w:val="20"/>
                <w:szCs w:val="20"/>
              </w:rPr>
              <w:t>↕  Connexions chiffrées</w:t>
            </w:r>
          </w:p>
          <w:p w14:paraId="5FF16208">
            <w:pPr>
              <w:jc w:val="center"/>
            </w:pPr>
            <w:r>
              <w:rPr>
                <w:rFonts w:ascii="Arial" w:hAnsi="Arial" w:eastAsia="Arial" w:cs="Arial"/>
                <w:b/>
                <w:bCs/>
                <w:color w:val="1F5C99"/>
                <w:sz w:val="22"/>
                <w:szCs w:val="22"/>
              </w:rPr>
              <w:t>[ BDD PostgreSQL (TDE)  |  Stockage fichiers (chiffré)  |  KMS / Vault ]</w:t>
            </w:r>
          </w:p>
          <w:p w14:paraId="7A5DE9B9">
            <w:pPr>
              <w:jc w:val="center"/>
            </w:pPr>
            <w:r>
              <w:rPr>
                <w:rFonts w:ascii="Arial" w:hAnsi="Arial" w:eastAsia="Arial" w:cs="Arial"/>
                <w:color w:val="666666"/>
                <w:sz w:val="20"/>
                <w:szCs w:val="20"/>
              </w:rPr>
              <w:t>↕</w:t>
            </w:r>
          </w:p>
          <w:p w14:paraId="7FEFBED9">
            <w:pPr>
              <w:jc w:val="center"/>
            </w:pPr>
            <w:r>
              <w:rPr>
                <w:rFonts w:ascii="Arial" w:hAnsi="Arial" w:eastAsia="Arial" w:cs="Arial"/>
                <w:b/>
                <w:bCs/>
                <w:color w:val="2E7D32"/>
                <w:sz w:val="22"/>
                <w:szCs w:val="22"/>
              </w:rPr>
              <w:t>[ SIEM  +  Audit Trail  +  Sauvegarde chiffrée (multi-zones) ]</w:t>
            </w:r>
          </w:p>
        </w:tc>
      </w:tr>
    </w:tbl>
    <w:p w14:paraId="48373FC5">
      <w:r>
        <w:br w:type="page"/>
      </w:r>
    </w:p>
    <w:p w14:paraId="4E6FD50B">
      <w:pPr>
        <w:pStyle w:val="2"/>
        <w:spacing w:before="400" w:after="200"/>
      </w:pPr>
      <w:r>
        <w:rPr>
          <w:rFonts w:ascii="Arial" w:hAnsi="Arial" w:eastAsia="Arial" w:cs="Arial"/>
          <w:b/>
          <w:bCs/>
          <w:color w:val="1F5C99"/>
          <w:sz w:val="32"/>
          <w:szCs w:val="32"/>
        </w:rPr>
        <w:t>7. Mesures de sécurité techniques</w:t>
      </w:r>
    </w:p>
    <w:p w14:paraId="21574B82">
      <w:pPr>
        <w:pStyle w:val="3"/>
        <w:spacing w:before="300" w:after="160"/>
      </w:pPr>
      <w:r>
        <w:rPr>
          <w:rFonts w:ascii="Arial" w:hAnsi="Arial" w:eastAsia="Arial" w:cs="Arial"/>
          <w:b/>
          <w:bCs/>
          <w:color w:val="2E75B6"/>
          <w:sz w:val="26"/>
          <w:szCs w:val="26"/>
        </w:rPr>
        <w:t>7.1 Chiffrement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26"/>
      </w:tblGrid>
      <w:tr w14:paraId="30F57D96">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63D98AED">
            <w:pPr>
              <w:jc w:val="center"/>
            </w:pPr>
            <w:r>
              <w:rPr>
                <w:rFonts w:ascii="Arial" w:hAnsi="Arial" w:eastAsia="Arial" w:cs="Arial"/>
                <w:b/>
                <w:bCs/>
                <w:color w:val="FFFFFF"/>
                <w:sz w:val="20"/>
                <w:szCs w:val="20"/>
              </w:rPr>
              <w:t>Contexte</w:t>
            </w:r>
          </w:p>
        </w:tc>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6A1FE58B">
            <w:pPr>
              <w:jc w:val="center"/>
            </w:pPr>
            <w:r>
              <w:rPr>
                <w:rFonts w:ascii="Arial" w:hAnsi="Arial" w:eastAsia="Arial" w:cs="Arial"/>
                <w:b/>
                <w:bCs/>
                <w:color w:val="FFFFFF"/>
                <w:sz w:val="20"/>
                <w:szCs w:val="20"/>
              </w:rPr>
              <w:t>Algorithme</w:t>
            </w:r>
          </w:p>
        </w:tc>
        <w:tc>
          <w:tcPr>
            <w:tcW w:w="4026"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7610166D">
            <w:pPr>
              <w:jc w:val="center"/>
            </w:pPr>
            <w:r>
              <w:rPr>
                <w:rFonts w:ascii="Arial" w:hAnsi="Arial" w:eastAsia="Arial" w:cs="Arial"/>
                <w:b/>
                <w:bCs/>
                <w:color w:val="FFFFFF"/>
                <w:sz w:val="20"/>
                <w:szCs w:val="20"/>
              </w:rPr>
              <w:t>Détail</w:t>
            </w:r>
          </w:p>
        </w:tc>
      </w:tr>
      <w:tr w14:paraId="72B2805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2E1B19">
            <w:r>
              <w:rPr>
                <w:rFonts w:ascii="Arial" w:hAnsi="Arial" w:eastAsia="Arial" w:cs="Arial"/>
                <w:sz w:val="20"/>
                <w:szCs w:val="20"/>
              </w:rPr>
              <w:t>Données au repos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7F88CD">
            <w:r>
              <w:rPr>
                <w:rFonts w:ascii="Arial" w:hAnsi="Arial" w:eastAsia="Arial" w:cs="Arial"/>
                <w:sz w:val="20"/>
                <w:szCs w:val="20"/>
              </w:rPr>
              <w:t>AES-256-GCM</w:t>
            </w:r>
          </w:p>
        </w:tc>
        <w:tc>
          <w:tcPr>
            <w:tcW w:w="4026"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6F96C013">
            <w:r>
              <w:rPr>
                <w:rFonts w:ascii="Arial" w:hAnsi="Arial" w:eastAsia="Arial" w:cs="Arial"/>
                <w:sz w:val="20"/>
                <w:szCs w:val="20"/>
              </w:rPr>
              <w:t>Chiffrement transparent de la BDD et des fichiers</w:t>
            </w:r>
          </w:p>
        </w:tc>
      </w:tr>
      <w:tr w14:paraId="098CD020">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ED6167">
            <w:r>
              <w:rPr>
                <w:rFonts w:ascii="Arial" w:hAnsi="Arial" w:eastAsia="Arial" w:cs="Arial"/>
                <w:sz w:val="20"/>
                <w:szCs w:val="20"/>
              </w:rPr>
              <w:t>Données en transit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CE0941">
            <w:r>
              <w:rPr>
                <w:rFonts w:ascii="Arial" w:hAnsi="Arial" w:eastAsia="Arial" w:cs="Arial"/>
                <w:sz w:val="20"/>
                <w:szCs w:val="20"/>
              </w:rPr>
              <w:t>TLS 1.3</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9482B">
            <w:r>
              <w:rPr>
                <w:rFonts w:ascii="Arial" w:hAnsi="Arial" w:eastAsia="Arial" w:cs="Arial"/>
                <w:sz w:val="20"/>
                <w:szCs w:val="20"/>
              </w:rPr>
              <w:t>Certificats renouvelés automatiquement (Let's Encrypt / PKI interne)</w:t>
            </w:r>
          </w:p>
        </w:tc>
      </w:tr>
      <w:tr w14:paraId="619B7855">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EE0704">
            <w:r>
              <w:rPr>
                <w:rFonts w:ascii="Arial" w:hAnsi="Arial" w:eastAsia="Arial" w:cs="Arial"/>
                <w:sz w:val="20"/>
                <w:szCs w:val="20"/>
              </w:rPr>
              <w:t>Mots de passe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E6F990">
            <w:r>
              <w:rPr>
                <w:rFonts w:ascii="Arial" w:hAnsi="Arial" w:eastAsia="Arial" w:cs="Arial"/>
                <w:sz w:val="20"/>
                <w:szCs w:val="20"/>
              </w:rPr>
              <w:t>Argon2id</w:t>
            </w:r>
          </w:p>
        </w:tc>
        <w:tc>
          <w:tcPr>
            <w:tcW w:w="4026"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48224698">
            <w:r>
              <w:rPr>
                <w:rFonts w:ascii="Arial" w:hAnsi="Arial" w:eastAsia="Arial" w:cs="Arial"/>
                <w:sz w:val="20"/>
                <w:szCs w:val="20"/>
              </w:rPr>
              <w:t>Hachage avec sel, résistant aux attaques GPU</w:t>
            </w:r>
          </w:p>
        </w:tc>
      </w:tr>
      <w:tr w14:paraId="03B3F110">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A2948A">
            <w:r>
              <w:rPr>
                <w:rFonts w:ascii="Arial" w:hAnsi="Arial" w:eastAsia="Arial" w:cs="Arial"/>
                <w:sz w:val="20"/>
                <w:szCs w:val="20"/>
              </w:rPr>
              <w:t>Tokens JWT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8D0E93">
            <w:r>
              <w:rPr>
                <w:rFonts w:ascii="Arial" w:hAnsi="Arial" w:eastAsia="Arial" w:cs="Arial"/>
                <w:sz w:val="20"/>
                <w:szCs w:val="20"/>
              </w:rPr>
              <w:t>RS256</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BB96EA">
            <w:r>
              <w:rPr>
                <w:rFonts w:ascii="Arial" w:hAnsi="Arial" w:eastAsia="Arial" w:cs="Arial"/>
                <w:sz w:val="20"/>
                <w:szCs w:val="20"/>
              </w:rPr>
              <w:t>Signature asymétrique, expiration courte (15 min)</w:t>
            </w:r>
          </w:p>
        </w:tc>
      </w:tr>
      <w:tr w14:paraId="7466F103">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1944F4">
            <w:r>
              <w:rPr>
                <w:rFonts w:ascii="Arial" w:hAnsi="Arial" w:eastAsia="Arial" w:cs="Arial"/>
                <w:sz w:val="20"/>
                <w:szCs w:val="20"/>
              </w:rPr>
              <w:t>Sauvegarde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F065AF">
            <w:r>
              <w:rPr>
                <w:rFonts w:ascii="Arial" w:hAnsi="Arial" w:eastAsia="Arial" w:cs="Arial"/>
                <w:sz w:val="20"/>
                <w:szCs w:val="20"/>
              </w:rPr>
              <w:t>AES-256 + GPG</w:t>
            </w:r>
          </w:p>
        </w:tc>
        <w:tc>
          <w:tcPr>
            <w:tcW w:w="4026"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0498BE62">
            <w:r>
              <w:rPr>
                <w:rFonts w:ascii="Arial" w:hAnsi="Arial" w:eastAsia="Arial" w:cs="Arial"/>
                <w:sz w:val="20"/>
                <w:szCs w:val="20"/>
              </w:rPr>
              <w:t>Chiffrement avant transfert vers stockage distant</w:t>
            </w:r>
          </w:p>
        </w:tc>
      </w:tr>
    </w:tbl>
    <w:p w14:paraId="0937C7F2">
      <w:pPr>
        <w:pStyle w:val="3"/>
        <w:spacing w:before="300" w:after="160"/>
      </w:pPr>
      <w:r>
        <w:rPr>
          <w:rFonts w:ascii="Arial" w:hAnsi="Arial" w:eastAsia="Arial" w:cs="Arial"/>
          <w:b/>
          <w:bCs/>
          <w:color w:val="2E75B6"/>
          <w:sz w:val="26"/>
          <w:szCs w:val="26"/>
        </w:rPr>
        <w:t>7.2 Gestion des identités et des accès</w:t>
      </w:r>
    </w:p>
    <w:p w14:paraId="5FA7AFC6">
      <w:pPr>
        <w:pStyle w:val="16"/>
        <w:numPr>
          <w:ilvl w:val="0"/>
          <w:numId w:val="1"/>
        </w:numPr>
        <w:spacing w:before="60" w:after="60"/>
      </w:pPr>
      <w:r>
        <w:rPr>
          <w:rFonts w:ascii="Arial" w:hAnsi="Arial" w:eastAsia="Arial" w:cs="Arial"/>
          <w:b w:val="0"/>
          <w:bCs w:val="0"/>
          <w:sz w:val="22"/>
          <w:szCs w:val="22"/>
        </w:rPr>
        <w:t>SSO (Single Sign-On) via Keycloak pour tous les utilisateurs</w:t>
      </w:r>
    </w:p>
    <w:p w14:paraId="71546494">
      <w:pPr>
        <w:pStyle w:val="16"/>
        <w:numPr>
          <w:ilvl w:val="0"/>
          <w:numId w:val="1"/>
        </w:numPr>
        <w:spacing w:before="60" w:after="60"/>
      </w:pPr>
      <w:r>
        <w:rPr>
          <w:rFonts w:ascii="Arial" w:hAnsi="Arial" w:eastAsia="Arial" w:cs="Arial"/>
          <w:b w:val="0"/>
          <w:bCs w:val="0"/>
          <w:sz w:val="22"/>
          <w:szCs w:val="22"/>
        </w:rPr>
        <w:t>MFA : application TOTP (Google Authenticator, FreeOTP) ou clé hardware FIDO2</w:t>
      </w:r>
    </w:p>
    <w:p w14:paraId="280F3BFB">
      <w:pPr>
        <w:pStyle w:val="16"/>
        <w:numPr>
          <w:ilvl w:val="0"/>
          <w:numId w:val="1"/>
        </w:numPr>
        <w:spacing w:before="60" w:after="60"/>
      </w:pPr>
      <w:r>
        <w:rPr>
          <w:rFonts w:ascii="Arial" w:hAnsi="Arial" w:eastAsia="Arial" w:cs="Arial"/>
          <w:b w:val="0"/>
          <w:bCs w:val="0"/>
          <w:sz w:val="22"/>
          <w:szCs w:val="22"/>
        </w:rPr>
        <w:t>Session : expiration automatique après 30 min d'inactivité pour les professionnels de santé</w:t>
      </w:r>
    </w:p>
    <w:p w14:paraId="6469FB24">
      <w:pPr>
        <w:pStyle w:val="16"/>
        <w:numPr>
          <w:ilvl w:val="0"/>
          <w:numId w:val="1"/>
        </w:numPr>
        <w:spacing w:before="60" w:after="60"/>
      </w:pPr>
      <w:r>
        <w:rPr>
          <w:rFonts w:ascii="Arial" w:hAnsi="Arial" w:eastAsia="Arial" w:cs="Arial"/>
          <w:b w:val="0"/>
          <w:bCs w:val="0"/>
          <w:sz w:val="22"/>
          <w:szCs w:val="22"/>
        </w:rPr>
        <w:t>Révocation immédiate des accès en cas de départ ou de compromission</w:t>
      </w:r>
    </w:p>
    <w:p w14:paraId="3AB02B76">
      <w:pPr>
        <w:pStyle w:val="3"/>
        <w:spacing w:before="300" w:after="160"/>
      </w:pPr>
      <w:r>
        <w:rPr>
          <w:rFonts w:ascii="Arial" w:hAnsi="Arial" w:eastAsia="Arial" w:cs="Arial"/>
          <w:b/>
          <w:bCs/>
          <w:color w:val="2E75B6"/>
          <w:sz w:val="26"/>
          <w:szCs w:val="26"/>
        </w:rPr>
        <w:t>7.3 Sécurité applicative (DevSecOps)</w:t>
      </w:r>
    </w:p>
    <w:p w14:paraId="0316A849">
      <w:pPr>
        <w:pStyle w:val="16"/>
        <w:numPr>
          <w:ilvl w:val="0"/>
          <w:numId w:val="1"/>
        </w:numPr>
        <w:spacing w:before="60" w:after="60"/>
      </w:pPr>
      <w:r>
        <w:rPr>
          <w:rFonts w:ascii="Arial" w:hAnsi="Arial" w:eastAsia="Arial" w:cs="Arial"/>
          <w:b w:val="0"/>
          <w:bCs w:val="0"/>
          <w:sz w:val="22"/>
          <w:szCs w:val="22"/>
        </w:rPr>
        <w:t>SAST (Static Application Security Testing) : SonarQube intégré dans la CI/CD</w:t>
      </w:r>
    </w:p>
    <w:p w14:paraId="20704394">
      <w:pPr>
        <w:pStyle w:val="16"/>
        <w:numPr>
          <w:ilvl w:val="0"/>
          <w:numId w:val="1"/>
        </w:numPr>
        <w:spacing w:before="60" w:after="60"/>
      </w:pPr>
      <w:r>
        <w:rPr>
          <w:rFonts w:ascii="Arial" w:hAnsi="Arial" w:eastAsia="Arial" w:cs="Arial"/>
          <w:b w:val="0"/>
          <w:bCs w:val="0"/>
          <w:sz w:val="22"/>
          <w:szCs w:val="22"/>
        </w:rPr>
        <w:t>DAST (Dynamic Application Security Testing) : OWASP ZAP en pré-production</w:t>
      </w:r>
    </w:p>
    <w:p w14:paraId="2055D418">
      <w:pPr>
        <w:pStyle w:val="16"/>
        <w:numPr>
          <w:ilvl w:val="0"/>
          <w:numId w:val="1"/>
        </w:numPr>
        <w:spacing w:before="60" w:after="60"/>
      </w:pPr>
      <w:r>
        <w:rPr>
          <w:rFonts w:ascii="Arial" w:hAnsi="Arial" w:eastAsia="Arial" w:cs="Arial"/>
          <w:b w:val="0"/>
          <w:bCs w:val="0"/>
          <w:sz w:val="22"/>
          <w:szCs w:val="22"/>
        </w:rPr>
        <w:t>Analyse des dépendances : OWASP Dependency-Check, Snyk</w:t>
      </w:r>
    </w:p>
    <w:p w14:paraId="29D1A4E0">
      <w:pPr>
        <w:pStyle w:val="16"/>
        <w:numPr>
          <w:ilvl w:val="0"/>
          <w:numId w:val="1"/>
        </w:numPr>
        <w:spacing w:before="60" w:after="60"/>
      </w:pPr>
      <w:r>
        <w:rPr>
          <w:rFonts w:ascii="Arial" w:hAnsi="Arial" w:eastAsia="Arial" w:cs="Arial"/>
          <w:b w:val="0"/>
          <w:bCs w:val="0"/>
          <w:sz w:val="22"/>
          <w:szCs w:val="22"/>
        </w:rPr>
        <w:t>Tests de pénétration annuels par un prestataire externe</w:t>
      </w:r>
    </w:p>
    <w:p w14:paraId="682DE68E">
      <w:pPr>
        <w:pStyle w:val="16"/>
        <w:numPr>
          <w:ilvl w:val="0"/>
          <w:numId w:val="1"/>
        </w:numPr>
        <w:spacing w:before="60" w:after="60"/>
      </w:pPr>
      <w:r>
        <w:rPr>
          <w:rFonts w:ascii="Arial" w:hAnsi="Arial" w:eastAsia="Arial" w:cs="Arial"/>
          <w:b w:val="0"/>
          <w:bCs w:val="0"/>
          <w:sz w:val="22"/>
          <w:szCs w:val="22"/>
        </w:rPr>
        <w:t>Bug bounty program</w:t>
      </w:r>
    </w:p>
    <w:p w14:paraId="57C4D574">
      <w:r>
        <w:br w:type="page"/>
      </w:r>
    </w:p>
    <w:p w14:paraId="54502D70">
      <w:pPr>
        <w:pStyle w:val="2"/>
        <w:spacing w:before="400" w:after="200"/>
      </w:pPr>
      <w:r>
        <w:rPr>
          <w:rFonts w:ascii="Arial" w:hAnsi="Arial" w:eastAsia="Arial" w:cs="Arial"/>
          <w:b/>
          <w:bCs/>
          <w:color w:val="1F5C99"/>
          <w:sz w:val="32"/>
          <w:szCs w:val="32"/>
        </w:rPr>
        <w:t>8. Plan de mise en oeuvre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3026"/>
        <w:gridCol w:w="2000"/>
      </w:tblGrid>
      <w:tr w14:paraId="49F3064C">
        <w:tc>
          <w:tcPr>
            <w:tcW w:w="15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6D7FA7EC">
            <w:pPr>
              <w:jc w:val="center"/>
            </w:pPr>
            <w:r>
              <w:rPr>
                <w:rFonts w:ascii="Arial" w:hAnsi="Arial" w:eastAsia="Arial" w:cs="Arial"/>
                <w:b/>
                <w:bCs/>
                <w:color w:val="FFFFFF"/>
                <w:sz w:val="20"/>
                <w:szCs w:val="20"/>
              </w:rPr>
              <w:t>Phase</w:t>
            </w:r>
          </w:p>
        </w:tc>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68550F7C">
            <w:pPr>
              <w:jc w:val="center"/>
            </w:pPr>
            <w:r>
              <w:rPr>
                <w:rFonts w:ascii="Arial" w:hAnsi="Arial" w:eastAsia="Arial" w:cs="Arial"/>
                <w:b/>
                <w:bCs/>
                <w:color w:val="FFFFFF"/>
                <w:sz w:val="20"/>
                <w:szCs w:val="20"/>
              </w:rPr>
              <w:t>Activité</w:t>
            </w:r>
          </w:p>
        </w:tc>
        <w:tc>
          <w:tcPr>
            <w:tcW w:w="3026"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3ABAD2CC">
            <w:pPr>
              <w:jc w:val="center"/>
            </w:pPr>
            <w:r>
              <w:rPr>
                <w:rFonts w:ascii="Arial" w:hAnsi="Arial" w:eastAsia="Arial" w:cs="Arial"/>
                <w:b/>
                <w:bCs/>
                <w:color w:val="FFFFFF"/>
                <w:sz w:val="20"/>
                <w:szCs w:val="20"/>
              </w:rPr>
              <w:t>Actions clés</w:t>
            </w:r>
          </w:p>
        </w:tc>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vAlign w:val="center"/>
          </w:tcPr>
          <w:p w14:paraId="7A21AB87">
            <w:pPr>
              <w:jc w:val="center"/>
            </w:pPr>
            <w:r>
              <w:rPr>
                <w:rFonts w:ascii="Arial" w:hAnsi="Arial" w:eastAsia="Arial" w:cs="Arial"/>
                <w:b/>
                <w:bCs/>
                <w:color w:val="FFFFFF"/>
                <w:sz w:val="20"/>
                <w:szCs w:val="20"/>
              </w:rPr>
              <w:t>Durée estimée</w:t>
            </w:r>
          </w:p>
        </w:tc>
      </w:tr>
      <w:tr w14:paraId="71C10813">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394AEC">
            <w:r>
              <w:rPr>
                <w:rFonts w:ascii="Arial" w:hAnsi="Arial" w:eastAsia="Arial" w:cs="Arial"/>
                <w:sz w:val="20"/>
                <w:szCs w:val="20"/>
              </w:rPr>
              <w:t>Phase 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9FDB97">
            <w:r>
              <w:rPr>
                <w:rFonts w:ascii="Arial" w:hAnsi="Arial" w:eastAsia="Arial" w:cs="Arial"/>
                <w:sz w:val="20"/>
                <w:szCs w:val="20"/>
              </w:rPr>
              <w:t>Cartographie et classification</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1B5957">
            <w:r>
              <w:rPr>
                <w:rFonts w:ascii="Arial" w:hAnsi="Arial" w:eastAsia="Arial" w:cs="Arial"/>
                <w:sz w:val="20"/>
                <w:szCs w:val="20"/>
              </w:rPr>
              <w:t>Inventaire données, classification, cartographie des flux</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448DBE">
            <w:r>
              <w:rPr>
                <w:rFonts w:ascii="Arial" w:hAnsi="Arial" w:eastAsia="Arial" w:cs="Arial"/>
                <w:sz w:val="20"/>
                <w:szCs w:val="20"/>
              </w:rPr>
              <w:t>2 semaines</w:t>
            </w:r>
          </w:p>
        </w:tc>
      </w:tr>
      <w:tr w14:paraId="2FF9DE2E">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AF3F69">
            <w:r>
              <w:rPr>
                <w:rFonts w:ascii="Arial" w:hAnsi="Arial" w:eastAsia="Arial" w:cs="Arial"/>
                <w:sz w:val="20"/>
                <w:szCs w:val="20"/>
              </w:rPr>
              <w:t>Phase 2</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DBA355">
            <w:r>
              <w:rPr>
                <w:rFonts w:ascii="Arial" w:hAnsi="Arial" w:eastAsia="Arial" w:cs="Arial"/>
                <w:sz w:val="20"/>
                <w:szCs w:val="20"/>
              </w:rPr>
              <w:t>Mise en conformité RGPD/HDS</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FF825F">
            <w:r>
              <w:rPr>
                <w:rFonts w:ascii="Arial" w:hAnsi="Arial" w:eastAsia="Arial" w:cs="Arial"/>
                <w:sz w:val="20"/>
                <w:szCs w:val="20"/>
              </w:rPr>
              <w:t>Registre de traitement, DPA, consentements, AIPD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2E45F2">
            <w:r>
              <w:rPr>
                <w:rFonts w:ascii="Arial" w:hAnsi="Arial" w:eastAsia="Arial" w:cs="Arial"/>
                <w:sz w:val="20"/>
                <w:szCs w:val="20"/>
              </w:rPr>
              <w:t>3 semaines</w:t>
            </w:r>
          </w:p>
        </w:tc>
      </w:tr>
      <w:tr w14:paraId="4C81E9F6">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5DC23E">
            <w:r>
              <w:rPr>
                <w:rFonts w:ascii="Arial" w:hAnsi="Arial" w:eastAsia="Arial" w:cs="Arial"/>
                <w:sz w:val="20"/>
                <w:szCs w:val="20"/>
              </w:rPr>
              <w:t>Phase 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EABC10">
            <w:r>
              <w:rPr>
                <w:rFonts w:ascii="Arial" w:hAnsi="Arial" w:eastAsia="Arial" w:cs="Arial"/>
                <w:sz w:val="20"/>
                <w:szCs w:val="20"/>
              </w:rPr>
              <w:t>Mise en place des contrôles techniques</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6D8DB">
            <w:r>
              <w:rPr>
                <w:rFonts w:ascii="Arial" w:hAnsi="Arial" w:eastAsia="Arial" w:cs="Arial"/>
                <w:sz w:val="20"/>
                <w:szCs w:val="20"/>
              </w:rPr>
              <w:t>Chiffrement, IAM, WAF, Vault, audit trail</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F81F25">
            <w:r>
              <w:rPr>
                <w:rFonts w:ascii="Arial" w:hAnsi="Arial" w:eastAsia="Arial" w:cs="Arial"/>
                <w:sz w:val="20"/>
                <w:szCs w:val="20"/>
              </w:rPr>
              <w:t>4 semaines</w:t>
            </w:r>
          </w:p>
        </w:tc>
      </w:tr>
      <w:tr w14:paraId="476E006D">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F685F">
            <w:r>
              <w:rPr>
                <w:rFonts w:ascii="Arial" w:hAnsi="Arial" w:eastAsia="Arial" w:cs="Arial"/>
                <w:sz w:val="20"/>
                <w:szCs w:val="20"/>
              </w:rPr>
              <w:t>Phase 4</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BF64B6">
            <w:r>
              <w:rPr>
                <w:rFonts w:ascii="Arial" w:hAnsi="Arial" w:eastAsia="Arial" w:cs="Arial"/>
                <w:sz w:val="20"/>
                <w:szCs w:val="20"/>
              </w:rPr>
              <w:t>Tests et audit</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EAA58">
            <w:r>
              <w:rPr>
                <w:rFonts w:ascii="Arial" w:hAnsi="Arial" w:eastAsia="Arial" w:cs="Arial"/>
                <w:sz w:val="20"/>
                <w:szCs w:val="20"/>
              </w:rPr>
              <w:t>Pentest, DAST, revue de code, audit HDS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ACD588">
            <w:r>
              <w:rPr>
                <w:rFonts w:ascii="Arial" w:hAnsi="Arial" w:eastAsia="Arial" w:cs="Arial"/>
                <w:sz w:val="20"/>
                <w:szCs w:val="20"/>
              </w:rPr>
              <w:t>2 semaines</w:t>
            </w:r>
          </w:p>
        </w:tc>
      </w:tr>
      <w:tr w14:paraId="6C19FD32">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36F480">
            <w:r>
              <w:rPr>
                <w:rFonts w:ascii="Arial" w:hAnsi="Arial" w:eastAsia="Arial" w:cs="Arial"/>
                <w:sz w:val="20"/>
                <w:szCs w:val="20"/>
              </w:rPr>
              <w:t>Phase 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79F6BC">
            <w:r>
              <w:rPr>
                <w:rFonts w:ascii="Arial" w:hAnsi="Arial" w:eastAsia="Arial" w:cs="Arial"/>
                <w:sz w:val="20"/>
                <w:szCs w:val="20"/>
              </w:rPr>
              <w:t>Formation et documentation</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5822E7">
            <w:r>
              <w:rPr>
                <w:rFonts w:ascii="Arial" w:hAnsi="Arial" w:eastAsia="Arial" w:cs="Arial"/>
                <w:sz w:val="20"/>
                <w:szCs w:val="20"/>
              </w:rPr>
              <w:t>Formation équipes, politique de sécurité, PCA/PRA</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A712D8">
            <w:r>
              <w:rPr>
                <w:rFonts w:ascii="Arial" w:hAnsi="Arial" w:eastAsia="Arial" w:cs="Arial"/>
                <w:sz w:val="20"/>
                <w:szCs w:val="20"/>
              </w:rPr>
              <w:t>1 semaine</w:t>
            </w:r>
          </w:p>
        </w:tc>
      </w:tr>
    </w:tbl>
    <w:p w14:paraId="0A5B7AA9">
      <w:r>
        <w:br w:type="page"/>
      </w:r>
    </w:p>
    <w:p w14:paraId="0008A2EC">
      <w:pPr>
        <w:pStyle w:val="2"/>
        <w:spacing w:before="400" w:after="200"/>
      </w:pPr>
      <w:r>
        <w:rPr>
          <w:rFonts w:ascii="Arial" w:hAnsi="Arial" w:eastAsia="Arial" w:cs="Arial"/>
          <w:b/>
          <w:bCs/>
          <w:color w:val="1F5C99"/>
          <w:sz w:val="32"/>
          <w:szCs w:val="32"/>
        </w:rPr>
        <w:t>9. Conclusion</w:t>
      </w:r>
    </w:p>
    <w:p w14:paraId="26EF6667">
      <w:pPr>
        <w:spacing w:before="100" w:after="100"/>
      </w:pPr>
      <w:r>
        <w:rPr>
          <w:rFonts w:ascii="Arial" w:hAnsi="Arial" w:eastAsia="Arial" w:cs="Arial"/>
          <w:sz w:val="22"/>
          <w:szCs w:val="22"/>
        </w:rPr>
        <w:t>La sécurisation des données sensibles d'une application santé est une obligation légale, éthique et technique. Ce projet a permis de définir une démarche structurée en quatre grandes étapes : identification des données sensibles, classification par niveau de risque, définition des exigences de sécurité, et conception d'une architecture cible robuste.</w:t>
      </w:r>
    </w:p>
    <w:p w14:paraId="64616538">
      <w:pPr>
        <w:spacing w:before="100" w:after="100"/>
      </w:pPr>
      <w:r>
        <w:rPr>
          <w:rFonts w:ascii="Arial" w:hAnsi="Arial" w:eastAsia="Arial" w:cs="Arial"/>
          <w:sz w:val="22"/>
          <w:szCs w:val="22"/>
        </w:rPr>
        <w:t>L'architecture proposée repose sur les principes Zero Trust, Defence in Depth et Privacy by Design, en accord avec les exigences du RGPD et de la certification HDS. Elle intègre des mécanismes de chiffrement fort, de contrôle d'accès granulaire, de traçabilité complète et de haute disponibilité.</w:t>
      </w:r>
    </w:p>
    <w:p w14:paraId="2D33FC4D">
      <w:pPr>
        <w:spacing w:before="100" w:after="100"/>
      </w:pPr>
      <w:r>
        <w:rPr>
          <w:rFonts w:ascii="Arial" w:hAnsi="Arial" w:eastAsia="Arial" w:cs="Arial"/>
          <w:sz w:val="22"/>
          <w:szCs w:val="22"/>
        </w:rPr>
        <w:t>La mise en oeuvre de cette architecture, combinée à une culture de sécurité au sein des équipes de développement (DevSecOps), permettra de garantir un niveau de protection adéquat pour les données de santé traitées par l'application.</w:t>
      </w:r>
    </w:p>
    <w:p w14:paraId="50CE0D7D">
      <w:pPr>
        <w:pBdr>
          <w:bottom w:val="single" w:color="2E75B6" w:sz="4" w:space="1"/>
        </w:pBdr>
        <w:spacing w:before="200" w:after="200"/>
      </w:pPr>
    </w:p>
    <w:p w14:paraId="1784ADA9">
      <w:pPr>
        <w:spacing w:before="200"/>
        <w:jc w:val="center"/>
      </w:pPr>
      <w:r>
        <w:rPr>
          <w:rFonts w:ascii="Arial" w:hAnsi="Arial" w:eastAsia="Arial" w:cs="Arial"/>
          <w:i/>
          <w:iCs/>
          <w:color w:val="888888"/>
          <w:sz w:val="18"/>
          <w:szCs w:val="18"/>
        </w:rPr>
        <w:t>Fin du rapport — Projet 1 : Sécurisation des données sensibles d'une application santé</w:t>
      </w:r>
    </w:p>
    <w:sectPr>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7E4953"/>
    <w:multiLevelType w:val="singleLevel"/>
    <w:tmpl w:val="CE7E4953"/>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compatSetting w:name="compatibilityMode" w:uri="http://schemas.microsoft.com/office/word" w:val="15"/>
  </w:compat>
  <w:rsids>
    <w:rsidRoot w:val="00000000"/>
    <w:rsid w:val="1C7E9056"/>
    <w:rsid w:val="7C6FCB7F"/>
    <w:rsid w:val="DA3F9A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F5C99"/>
      <w:sz w:val="32"/>
      <w:szCs w:val="32"/>
    </w:rPr>
  </w:style>
  <w:style w:type="paragraph" w:styleId="3">
    <w:name w:val="heading 2"/>
    <w:next w:val="1"/>
    <w:qFormat/>
    <w:uiPriority w:val="0"/>
    <w:pPr>
      <w:spacing w:before="300" w:after="160"/>
      <w:outlineLvl w:val="1"/>
    </w:pPr>
    <w:rPr>
      <w:rFonts w:ascii="Arial" w:hAnsi="Arial" w:eastAsia="Arial" w:cs="Arial"/>
      <w:b/>
      <w:bCs/>
      <w:color w:val="2E75B6"/>
      <w:sz w:val="26"/>
      <w:szCs w:val="26"/>
    </w:rPr>
  </w:style>
  <w:style w:type="paragraph" w:styleId="4">
    <w:name w:val="heading 3"/>
    <w:next w:val="1"/>
    <w:qFormat/>
    <w:uiPriority w:val="0"/>
    <w:pPr>
      <w:spacing w:before="200" w:after="12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18</TotalTime>
  <ScaleCrop>false</ScaleCrop>
  <LinksUpToDate>false</LinksUpToDate>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SENGHOR</cp:lastModifiedBy>
  <dcterms:modified xsi:type="dcterms:W3CDTF">2026-04-17T18:51:03Z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4A1B7209E52223610880E269B78B2F10_42</vt:lpwstr>
  </property>
</Properties>
</file>