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F6862"/>
          <w:spacing w:val="40"/>
          <w:sz w:val="17"/>
          <w:szCs w:val="17"/>
        </w:rPr>
        <w:t xml:space="preserve">HIMAM  ·  API REFERENCE</w:t>
      </w:r>
    </w:p>
    <w:p>
      <w:pPr>
        <w:spacing w:after="110"/>
      </w:pPr>
      <w:r>
        <w:rPr>
          <w:rFonts w:ascii="Calibri" w:cs="Calibri" w:eastAsia="Calibri" w:hAnsi="Calibri"/>
          <w:color w:val="1A1F1C"/>
          <w:sz w:val="33"/>
          <w:szCs w:val="33"/>
        </w:rPr>
        <w:t xml:space="preserve">Registration, password reset and notification reads</w:t>
      </w:r>
    </w:p>
    <w:p>
      <w:pPr>
        <w:pBdr>
          <w:bottom w:val="single" w:color="1E5C48" w:sz="12" w:space="10"/>
        </w:pBdr>
        <w:spacing w:after="220"/>
      </w:pPr>
      <w:r>
        <w:rPr>
          <w:rFonts w:ascii="Calibri" w:cs="Calibri" w:eastAsia="Calibri" w:hAnsi="Calibri"/>
          <w:i/>
          <w:iCs/>
          <w:color w:val="3C4741"/>
          <w:sz w:val="21"/>
          <w:szCs w:val="21"/>
        </w:rPr>
        <w:t xml:space="preserve">The endpoints added since September 2026. Every sample below is a real response captured from the API, not written for illustration.</w:t>
      </w:r>
    </w:p>
    <w:p>
      <w:pPr>
        <w:spacing w:after="260"/>
      </w:pPr>
      <w:r>
        <w:rPr>
          <w:rFonts w:ascii="Calibri" w:cs="Calibri" w:eastAsia="Calibri" w:hAnsi="Calibri"/>
          <w:b/>
          <w:bCs/>
          <w:color w:val="5F6862"/>
          <w:sz w:val="18"/>
          <w:szCs w:val="18"/>
        </w:rPr>
        <w:t xml:space="preserve">Base URL:   </w:t>
      </w:r>
      <w:r>
        <w:rPr>
          <w:rFonts w:ascii="Consolas" w:cs="Consolas" w:eastAsia="Consolas" w:hAnsi="Consolas"/>
          <w:color w:val="2C3530"/>
          <w:sz w:val="18"/>
          <w:szCs w:val="18"/>
        </w:rPr>
        <w:t xml:space="preserve">https://himam-back.onrender.com/api</w:t>
      </w:r>
    </w:p>
    <w:p>
      <w:pPr>
        <w:spacing w:after="120" w:before="380"/>
      </w:pPr>
      <w:r>
        <w:rPr>
          <w:rFonts w:ascii="Calibri" w:cs="Calibri" w:eastAsia="Calibri" w:hAnsi="Calibri"/>
          <w:b/>
          <w:bCs/>
          <w:color w:val="1A1F1C"/>
          <w:sz w:val="27"/>
          <w:szCs w:val="27"/>
        </w:rPr>
        <w:t xml:space="preserve">What was added</w:t>
      </w:r>
    </w:p>
    <w:tbl>
      <w:tblPr>
        <w:tblW w:type="dxa" w:w="9360"/>
        <w:tblBorders>
          <w:top w:val="single" w:color="C9D1CB" w:sz="4"/>
          <w:left w:val="single" w:color="C9D1CB" w:sz="4"/>
          <w:bottom w:val="single" w:color="C9D1CB" w:sz="4"/>
          <w:right w:val="single" w:color="C9D1CB" w:sz="4"/>
          <w:insideH w:val="single" w:color="C9D1CB" w:sz="4"/>
          <w:insideV w:val="single" w:color="C9D1CB" w:sz="4"/>
        </w:tblBorders>
      </w:tblPr>
      <w:tblGrid>
        <w:gridCol w:w="3400"/>
        <w:gridCol w:w="1200"/>
        <w:gridCol w:w="4760"/>
      </w:tblGrid>
      <w:tr>
        <w:trPr>
          <w:tblHeader/>
        </w:trPr>
        <w:tc>
          <w:tcPr>
            <w:tcW w:type="dxa" w:w="340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Endpoint</w:t>
            </w:r>
          </w:p>
        </w:tc>
        <w:tc>
          <w:tcPr>
            <w:tcW w:type="dxa" w:w="120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Auth</w:t>
            </w:r>
          </w:p>
        </w:tc>
        <w:tc>
          <w:tcPr>
            <w:tcW w:type="dxa" w:w="476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POST /auth/register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public</w:t>
            </w:r>
          </w:p>
        </w:tc>
        <w:tc>
          <w:tcPr>
            <w:tcW w:type="dxa" w:w="4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Collects the fields the registration form asks for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POST /auth/forgot-password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public</w:t>
            </w:r>
          </w:p>
        </w:tc>
        <w:tc>
          <w:tcPr>
            <w:tcW w:type="dxa" w:w="4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Emails a reset link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POST /auth/reset-password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public</w:t>
            </w:r>
          </w:p>
        </w:tc>
        <w:tc>
          <w:tcPr>
            <w:tcW w:type="dxa" w:w="4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Sets the new password against the emailed token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POST /announcements/{id}/read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reader</w:t>
            </w:r>
          </w:p>
        </w:tc>
        <w:tc>
          <w:tcPr>
            <w:tcW w:type="dxa" w:w="4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Marks one notification read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GET /countries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public</w:t>
            </w:r>
          </w:p>
        </w:tc>
        <w:tc>
          <w:tcPr>
            <w:tcW w:type="dxa" w:w="4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Country list for the registration form</w:t>
            </w:r>
          </w:p>
        </w:tc>
      </w:tr>
    </w:tbl>
    <w:p>
      <w:pPr>
        <w:pBdr>
          <w:bottom w:val="single" w:color="1E5C48" w:sz="6" w:space="6"/>
        </w:pBdr>
        <w:spacing w:after="80" w:before="340"/>
      </w:pPr>
      <w:r>
        <w:rPr>
          <w:rFonts w:ascii="Segoe UI" w:cs="Segoe UI" w:eastAsia="Segoe UI" w:hAnsi="Segoe UI"/>
          <w:b/>
          <w:bCs/>
          <w:color w:val="1A1F1C"/>
          <w:sz w:val="26"/>
          <w:szCs w:val="26"/>
          <w:rtl/>
        </w:rPr>
        <w:t xml:space="preserve">التسجيل</w:t>
      </w:r>
      <w:r>
        <w:rPr>
          <w:rFonts w:ascii="Calibri" w:cs="Calibri" w:eastAsia="Calibri" w:hAnsi="Calibri"/>
          <w:b/>
          <w:bCs/>
          <w:color w:val="5F6862"/>
          <w:sz w:val="24"/>
          <w:szCs w:val="24"/>
        </w:rPr>
        <w:t xml:space="preserve">  Registration</w:t>
      </w:r>
    </w:p>
    <w:p>
      <w:pPr>
        <w:shd w:fill="F1F4F1" w:val="clear"/>
        <w:spacing w:after="160" w:before="60"/>
      </w:pPr>
      <w:r>
        <w:rPr>
          <w:rFonts w:ascii="Consolas" w:cs="Consolas" w:eastAsia="Consolas" w:hAnsi="Consolas"/>
          <w:b/>
          <w:bCs/>
          <w:color w:val="FFFFFF"/>
          <w:sz w:val="19"/>
          <w:szCs w:val="19"/>
          <w:shd w:fill="1E5C48" w:val="clear"/>
        </w:rPr>
        <w:t xml:space="preserve"> POST </w:t>
      </w:r>
      <w:r>
        <w:rPr>
          <w:rFonts w:ascii="Consolas" w:cs="Consolas" w:eastAsia="Consolas" w:hAnsi="Consolas"/>
          <w:color w:val="1A1F1C"/>
          <w:sz w:val="19"/>
          <w:szCs w:val="19"/>
        </w:rPr>
        <w:t xml:space="preserve">  /auth/register</w:t>
      </w:r>
      <w:r>
        <w:rPr>
          <w:rFonts w:ascii="Calibri" w:cs="Calibri" w:eastAsia="Calibri" w:hAnsi="Calibri"/>
          <w:i/>
          <w:iCs/>
          <w:color w:val="5F6862"/>
          <w:sz w:val="17"/>
          <w:szCs w:val="17"/>
        </w:rPr>
        <w:t xml:space="preserve">     public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The form asks for an email address, the name to print on the certificate, and a password. Gender, country and email consent are optional, and every optional column is nullable — accounts created before a question existed are unaffected.</w:t>
      </w:r>
    </w:p>
    <w:tbl>
      <w:tblPr>
        <w:tblW w:type="dxa" w:w="9360"/>
        <w:tblBorders>
          <w:top w:val="single" w:color="C9D1CB" w:sz="4"/>
          <w:left w:val="single" w:color="C9D1CB" w:sz="4"/>
          <w:bottom w:val="single" w:color="C9D1CB" w:sz="4"/>
          <w:right w:val="single" w:color="C9D1CB" w:sz="4"/>
          <w:insideH w:val="single" w:color="C9D1CB" w:sz="4"/>
          <w:insideV w:val="single" w:color="C9D1CB" w:sz="4"/>
        </w:tblBorders>
      </w:tblPr>
      <w:tblGrid>
        <w:gridCol w:w="2200"/>
        <w:gridCol w:w="1000"/>
        <w:gridCol w:w="6160"/>
      </w:tblGrid>
      <w:tr>
        <w:trPr>
          <w:tblHeader/>
        </w:trPr>
        <w:tc>
          <w:tcPr>
            <w:tcW w:type="dxa" w:w="220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Field</w:t>
            </w:r>
          </w:p>
        </w:tc>
        <w:tc>
          <w:tcPr>
            <w:tcW w:type="dxa" w:w="100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Required</w:t>
            </w:r>
          </w:p>
        </w:tc>
        <w:tc>
          <w:tcPr>
            <w:tcW w:type="dxa" w:w="616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Accepted values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email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yes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Must be unique.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name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yes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Free text. This is what gets printed on the certificate.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password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yes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At least 8 characters, sent with password_confirmation.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gender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no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male · female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country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no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Free text — the app sends the country’s localised name.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accepts_email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no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Consent to be emailed about the programme. A separate question from the in-app notification preferences.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city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no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Free text, max 120.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C3530"/>
                <w:sz w:val="18"/>
                <w:szCs w:val="18"/>
              </w:rPr>
              <w:t xml:space="preserve">locale</w:t>
            </w:r>
          </w:p>
        </w:tc>
        <w:tc>
          <w:tcPr>
            <w:tcW w:type="dxa" w:w="1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no</w:t>
            </w:r>
          </w:p>
        </w:tc>
        <w:tc>
          <w:tcPr>
            <w:tcW w:type="dxa" w:w="61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Any active locale code. Defaults to the request’s language.</w:t>
            </w:r>
          </w:p>
        </w:tc>
      </w:tr>
    </w:tbl>
    <w:p>
      <w:pPr>
        <w:pBdr>
          <w:left w:val="single" w:color="1E5C48" w:sz="18" w:space="10"/>
        </w:pBdr>
        <w:spacing w:after="40" w:before="160"/>
        <w:ind w:left="120"/>
      </w:pPr>
      <w:r>
        <w:rPr>
          <w:rFonts w:ascii="Calibri" w:cs="Calibri" w:eastAsia="Calibri" w:hAnsi="Calibri"/>
          <w:b/>
          <w:bCs/>
          <w:color w:val="1E5C48"/>
          <w:sz w:val="21"/>
          <w:szCs w:val="21"/>
        </w:rPr>
        <w:t xml:space="preserve">Fields the form no longer asks for are ignored, not rejected</w:t>
      </w:r>
    </w:p>
    <w:p>
      <w:pPr>
        <w:pBdr>
          <w:left w:val="single" w:color="1E5C48" w:sz="18" w:space="10"/>
        </w:pBdr>
        <w:spacing w:after="150" w:line="290"/>
        <w:ind w:left="120"/>
      </w:pPr>
      <w:r>
        <w:rPr>
          <w:rFonts w:ascii="Calibri" w:cs="Calibri" w:eastAsia="Calibri" w:hAnsi="Calibri"/>
          <w:color w:val="3C4741"/>
          <w:sz w:val="20"/>
          <w:szCs w:val="20"/>
        </w:rPr>
        <w:t xml:space="preserve">Age band, education level, WhatsApp number and phone were dropped from the registration form. A client still sending them registers successfully — the extra keys are discarded — so an older build of the app keeps working rather than failing at 422. Phone remains on the account screen, so a reader can add one afterwards.</w:t>
      </w:r>
    </w:p>
    <w:p>
      <w:pPr>
        <w:spacing w:after="50"/>
      </w:pPr>
      <w:r>
        <w:rPr>
          <w:rFonts w:ascii="Calibri" w:cs="Calibri" w:eastAsia="Calibri" w:hAnsi="Calibri"/>
          <w:color w:val="5F6862"/>
          <w:sz w:val="17"/>
          <w:szCs w:val="17"/>
        </w:rPr>
        <w:t xml:space="preserve">Request: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"email": "salem@himam.test",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"name": "سالم بن أحمد",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"password": "secret123",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"password_confirmation": "secret123",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"gender": "male",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"country": "الكويت",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"accepts_email": true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}</w:t>
      </w:r>
    </w:p>
    <w:p>
      <w:pPr>
        <w:spacing w:after="50"/>
      </w:pPr>
      <w:r>
        <w:rPr>
          <w:rFonts w:ascii="Calibri" w:cs="Calibri" w:eastAsia="Calibri" w:hAnsi="Calibri"/>
          <w:color w:val="5F6862"/>
          <w:sz w:val="17"/>
          <w:szCs w:val="17"/>
        </w:rPr>
        <w:t xml:space="preserve">Response — 201. The token works immediately; there is no separate sign-in step.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"token": "1|IiNGqw…",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"user": 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"id": 10,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"name": "سالم بن أحمد",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"email": "salem@himam.test",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"gender": "male",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"city": null,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"country": "الكويت",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"accepts_email": true,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"role": "student",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"locale": "ar",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"points": 0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}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}</w:t>
      </w:r>
    </w:p>
    <w:p>
      <w:pPr>
        <w:spacing w:after="50"/>
      </w:pPr>
      <w:r>
        <w:rPr>
          <w:rFonts w:ascii="Calibri" w:cs="Calibri" w:eastAsia="Calibri" w:hAnsi="Calibri"/>
          <w:color w:val="5F6862"/>
          <w:sz w:val="17"/>
          <w:szCs w:val="17"/>
        </w:rPr>
        <w:t xml:space="preserve">Validation errors — 422, per field, and translated. The same request in Arabic: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"errors": 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"name": ["حقل الاسم مطلوب."],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"email": ["قيمة حقل البريد الإلكتروني مستخدمة من قبل."],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"password": ["يجب ألا يقل طول حقل كلمة المرور عن 8 حروف."],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"gender": ["قيمة حقل الجنس غير صحيحة."]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}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}</w:t>
      </w:r>
    </w:p>
    <w:p>
      <w:pPr>
        <w:pBdr>
          <w:bottom w:val="single" w:color="1E5C48" w:sz="6" w:space="6"/>
        </w:pBdr>
        <w:spacing w:after="80" w:before="340"/>
      </w:pPr>
      <w:r>
        <w:rPr>
          <w:rFonts w:ascii="Segoe UI" w:cs="Segoe UI" w:eastAsia="Segoe UI" w:hAnsi="Segoe UI"/>
          <w:b/>
          <w:bCs/>
          <w:color w:val="1A1F1C"/>
          <w:sz w:val="26"/>
          <w:szCs w:val="26"/>
          <w:rtl/>
        </w:rPr>
        <w:t xml:space="preserve">الدول</w:t>
      </w:r>
      <w:r>
        <w:rPr>
          <w:rFonts w:ascii="Calibri" w:cs="Calibri" w:eastAsia="Calibri" w:hAnsi="Calibri"/>
          <w:b/>
          <w:bCs/>
          <w:color w:val="5F6862"/>
          <w:sz w:val="24"/>
          <w:szCs w:val="24"/>
        </w:rPr>
        <w:t xml:space="preserve">  Countries</w:t>
      </w:r>
    </w:p>
    <w:p>
      <w:pPr>
        <w:shd w:fill="F1F4F1" w:val="clear"/>
        <w:spacing w:after="160" w:before="60"/>
      </w:pPr>
      <w:r>
        <w:rPr>
          <w:rFonts w:ascii="Consolas" w:cs="Consolas" w:eastAsia="Consolas" w:hAnsi="Consolas"/>
          <w:b/>
          <w:bCs/>
          <w:color w:val="FFFFFF"/>
          <w:sz w:val="19"/>
          <w:szCs w:val="19"/>
          <w:shd w:fill="1E5C48" w:val="clear"/>
        </w:rPr>
        <w:t xml:space="preserve"> GET </w:t>
      </w:r>
      <w:r>
        <w:rPr>
          <w:rFonts w:ascii="Consolas" w:cs="Consolas" w:eastAsia="Consolas" w:hAnsi="Consolas"/>
          <w:color w:val="1A1F1C"/>
          <w:sz w:val="19"/>
          <w:szCs w:val="19"/>
        </w:rPr>
        <w:t xml:space="preserve">  /countries</w:t>
      </w:r>
      <w:r>
        <w:rPr>
          <w:rFonts w:ascii="Calibri" w:cs="Calibri" w:eastAsia="Calibri" w:hAnsi="Calibri"/>
          <w:i/>
          <w:iCs/>
          <w:color w:val="5F6862"/>
          <w:sz w:val="17"/>
          <w:szCs w:val="17"/>
        </w:rPr>
        <w:t xml:space="preserve">     public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Backs the country picker on the registration form. Names and ordering follow the request’s language — Arabic names sort by the Arabic alphabet, not by their codes. Only the ISO codes and dialling codes are stored server-side; the names come from PHP’s own locale data, so a language added later needs no new translation file.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"data": [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{ "code": "ET", "name": "إثيوبيا", "dial_code": "+251" },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{ "code": "AZ", "name": "أذربيجان", "dial_code": "+994" },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  { "code": "KW", "name": "الكويت", "dial_code": "+965" }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],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"meta": { "locale": "ar" }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}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114 countries.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dial_code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 is there for any screen that asks for a phone number: deriving it from the country already chosen is kinder than asking a reader to remember it.</w:t>
      </w:r>
    </w:p>
    <w:p>
      <w:pPr>
        <w:pBdr>
          <w:bottom w:val="single" w:color="1E5C48" w:sz="6" w:space="6"/>
        </w:pBdr>
        <w:spacing w:after="80" w:before="340"/>
      </w:pPr>
      <w:r>
        <w:rPr>
          <w:rFonts w:ascii="Segoe UI" w:cs="Segoe UI" w:eastAsia="Segoe UI" w:hAnsi="Segoe UI"/>
          <w:b/>
          <w:bCs/>
          <w:color w:val="1A1F1C"/>
          <w:sz w:val="26"/>
          <w:szCs w:val="26"/>
          <w:rtl/>
        </w:rPr>
        <w:t xml:space="preserve">نسيت كلمة المرور</w:t>
      </w:r>
      <w:r>
        <w:rPr>
          <w:rFonts w:ascii="Calibri" w:cs="Calibri" w:eastAsia="Calibri" w:hAnsi="Calibri"/>
          <w:b/>
          <w:bCs/>
          <w:color w:val="5F6862"/>
          <w:sz w:val="24"/>
          <w:szCs w:val="24"/>
        </w:rPr>
        <w:t xml:space="preserve">  Forgot password</w:t>
      </w:r>
    </w:p>
    <w:p>
      <w:pPr>
        <w:shd w:fill="F1F4F1" w:val="clear"/>
        <w:spacing w:after="160" w:before="60"/>
      </w:pPr>
      <w:r>
        <w:rPr>
          <w:rFonts w:ascii="Consolas" w:cs="Consolas" w:eastAsia="Consolas" w:hAnsi="Consolas"/>
          <w:b/>
          <w:bCs/>
          <w:color w:val="FFFFFF"/>
          <w:sz w:val="19"/>
          <w:szCs w:val="19"/>
          <w:shd w:fill="1E5C48" w:val="clear"/>
        </w:rPr>
        <w:t xml:space="preserve"> POST </w:t>
      </w:r>
      <w:r>
        <w:rPr>
          <w:rFonts w:ascii="Consolas" w:cs="Consolas" w:eastAsia="Consolas" w:hAnsi="Consolas"/>
          <w:color w:val="1A1F1C"/>
          <w:sz w:val="19"/>
          <w:szCs w:val="19"/>
        </w:rPr>
        <w:t xml:space="preserve">  /auth/forgot-password</w:t>
      </w:r>
      <w:r>
        <w:rPr>
          <w:rFonts w:ascii="Calibri" w:cs="Calibri" w:eastAsia="Calibri" w:hAnsi="Calibri"/>
          <w:i/>
          <w:iCs/>
          <w:color w:val="5F6862"/>
          <w:sz w:val="17"/>
          <w:szCs w:val="17"/>
        </w:rPr>
        <w:t xml:space="preserve">     public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Request   { "email": "salem@himam.test" }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Response  { "message": "إن كان لهذا البريد حساب، فسيصله رابط الاستعادة." }</w:t>
      </w:r>
    </w:p>
    <w:p>
      <w:pPr>
        <w:spacing w:after="140" w:line="290"/>
      </w:pPr>
      <w:r>
        <w:rPr>
          <w:rFonts w:ascii="Calibri" w:cs="Calibri" w:eastAsia="Calibri" w:hAnsi="Calibri"/>
          <w:b/>
          <w:bCs/>
          <w:color w:val="1A1F1C"/>
          <w:sz w:val="21"/>
          <w:szCs w:val="21"/>
        </w:rPr>
        <w:t xml:space="preserve">The reply is identical whether or not the address is registered.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 Saying “no such account” here would turn the endpoint into a way to test which addresses have accounts — worth more to an attacker than the small convenience it offers someone who mistyped their email. Do not build a screen that implies otherwise.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Asking again too soon returns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429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.</w:t>
      </w:r>
    </w:p>
    <w:p>
      <w:pPr>
        <w:spacing w:after="50"/>
      </w:pPr>
      <w:r>
        <w:rPr>
          <w:rFonts w:ascii="Calibri" w:cs="Calibri" w:eastAsia="Calibri" w:hAnsi="Calibri"/>
          <w:color w:val="5F6862"/>
          <w:sz w:val="17"/>
          <w:szCs w:val="17"/>
        </w:rPr>
        <w:t xml:space="preserve">The emailed link opens the app, not the API:</w:t>
      </w:r>
    </w:p>
    <w:p>
      <w:pPr>
        <w:shd w:fill="F1F4F1" w:val="clear"/>
        <w:spacing w:after="18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https://&lt;frontend&gt;/reset-password?token=f9df3c0e…&amp;email=salem%40himam.test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The origin comes from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FRONTEND_URL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. Left unset it falls back to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APP_URL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 — the backend — and a reader would land on a JSON endpoint. Set it on any host that sends these emails.</w:t>
      </w:r>
    </w:p>
    <w:p>
      <w:pPr>
        <w:pBdr>
          <w:bottom w:val="single" w:color="1E5C48" w:sz="6" w:space="6"/>
        </w:pBdr>
        <w:spacing w:after="80" w:before="340"/>
      </w:pPr>
      <w:r>
        <w:rPr>
          <w:rFonts w:ascii="Segoe UI" w:cs="Segoe UI" w:eastAsia="Segoe UI" w:hAnsi="Segoe UI"/>
          <w:b/>
          <w:bCs/>
          <w:color w:val="1A1F1C"/>
          <w:sz w:val="26"/>
          <w:szCs w:val="26"/>
          <w:rtl/>
        </w:rPr>
        <w:t xml:space="preserve">تعيين كلمة مرور جديدة</w:t>
      </w:r>
      <w:r>
        <w:rPr>
          <w:rFonts w:ascii="Calibri" w:cs="Calibri" w:eastAsia="Calibri" w:hAnsi="Calibri"/>
          <w:b/>
          <w:bCs/>
          <w:color w:val="5F6862"/>
          <w:sz w:val="24"/>
          <w:szCs w:val="24"/>
        </w:rPr>
        <w:t xml:space="preserve">  Reset password</w:t>
      </w:r>
    </w:p>
    <w:p>
      <w:pPr>
        <w:shd w:fill="F1F4F1" w:val="clear"/>
        <w:spacing w:after="160" w:before="60"/>
      </w:pPr>
      <w:r>
        <w:rPr>
          <w:rFonts w:ascii="Consolas" w:cs="Consolas" w:eastAsia="Consolas" w:hAnsi="Consolas"/>
          <w:b/>
          <w:bCs/>
          <w:color w:val="FFFFFF"/>
          <w:sz w:val="19"/>
          <w:szCs w:val="19"/>
          <w:shd w:fill="1E5C48" w:val="clear"/>
        </w:rPr>
        <w:t xml:space="preserve"> POST </w:t>
      </w:r>
      <w:r>
        <w:rPr>
          <w:rFonts w:ascii="Consolas" w:cs="Consolas" w:eastAsia="Consolas" w:hAnsi="Consolas"/>
          <w:color w:val="1A1F1C"/>
          <w:sz w:val="19"/>
          <w:szCs w:val="19"/>
        </w:rPr>
        <w:t xml:space="preserve">  /auth/reset-password</w:t>
      </w:r>
      <w:r>
        <w:rPr>
          <w:rFonts w:ascii="Calibri" w:cs="Calibri" w:eastAsia="Calibri" w:hAnsi="Calibri"/>
          <w:i/>
          <w:iCs/>
          <w:color w:val="5F6862"/>
          <w:sz w:val="17"/>
          <w:szCs w:val="17"/>
        </w:rPr>
        <w:t xml:space="preserve">     public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"token": "f9df3c0e…",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"email": "salem@himam.test",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"password": "newsecret123",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"password_confirmation": "newsecret123"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}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Three things worth knowing:</w:t>
      </w:r>
    </w:p>
    <w:tbl>
      <w:tblPr>
        <w:tblW w:type="dxa" w:w="9360"/>
        <w:tblBorders>
          <w:top w:val="single" w:color="C9D1CB" w:sz="4"/>
          <w:left w:val="single" w:color="C9D1CB" w:sz="4"/>
          <w:bottom w:val="single" w:color="C9D1CB" w:sz="4"/>
          <w:right w:val="single" w:color="C9D1CB" w:sz="4"/>
          <w:insideH w:val="single" w:color="C9D1CB" w:sz="4"/>
          <w:insideV w:val="single" w:color="C9D1CB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Behaviour</w:t>
            </w:r>
          </w:p>
        </w:tc>
        <w:tc>
          <w:tcPr>
            <w:tcW w:type="dxa" w:w="5960"/>
            <w:shd w:fill="E4EDE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5C48"/>
                <w:sz w:val="18"/>
                <w:szCs w:val="18"/>
              </w:rPr>
              <w:t xml:space="preserve">Why it matters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The token is single use.</w:t>
            </w:r>
          </w:p>
        </w:tc>
        <w:tc>
          <w:tcPr>
            <w:tcW w:type="dxa" w:w="59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Replaying it fails.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It expires.</w:t>
            </w:r>
          </w:p>
        </w:tc>
        <w:tc>
          <w:tcPr>
            <w:tcW w:type="dxa" w:w="59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An expired token and a wrong one give the same 422 message, so the endpoint cannot be used to probe tokens.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A successful reset revokes every API token on the account.</w:t>
            </w:r>
          </w:p>
        </w:tc>
        <w:tc>
          <w:tcPr>
            <w:tcW w:type="dxa" w:w="59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F1C"/>
                <w:sz w:val="19"/>
                <w:szCs w:val="19"/>
              </w:rPr>
              <w:t xml:space="preserve">Anyone holding one had the old password, or took it. The reader signs in again, including on their other devices.</w:t>
            </w:r>
          </w:p>
        </w:tc>
      </w:tr>
    </w:tbl>
    <w:p>
      <w:pPr>
        <w:pBdr>
          <w:bottom w:val="single" w:color="1E5C48" w:sz="6" w:space="6"/>
        </w:pBdr>
        <w:spacing w:after="80" w:before="340"/>
      </w:pPr>
      <w:r>
        <w:rPr>
          <w:rFonts w:ascii="Segoe UI" w:cs="Segoe UI" w:eastAsia="Segoe UI" w:hAnsi="Segoe UI"/>
          <w:b/>
          <w:bCs/>
          <w:color w:val="1A1F1C"/>
          <w:sz w:val="26"/>
          <w:szCs w:val="26"/>
          <w:rtl/>
        </w:rPr>
        <w:t xml:space="preserve">تعليم إشعار كمقروء</w:t>
      </w:r>
      <w:r>
        <w:rPr>
          <w:rFonts w:ascii="Calibri" w:cs="Calibri" w:eastAsia="Calibri" w:hAnsi="Calibri"/>
          <w:b/>
          <w:bCs/>
          <w:color w:val="5F6862"/>
          <w:sz w:val="24"/>
          <w:szCs w:val="24"/>
        </w:rPr>
        <w:t xml:space="preserve">  Mark one notification read</w:t>
      </w:r>
    </w:p>
    <w:p>
      <w:pPr>
        <w:shd w:fill="F1F4F1" w:val="clear"/>
        <w:spacing w:after="160" w:before="60"/>
      </w:pPr>
      <w:r>
        <w:rPr>
          <w:rFonts w:ascii="Consolas" w:cs="Consolas" w:eastAsia="Consolas" w:hAnsi="Consolas"/>
          <w:b/>
          <w:bCs/>
          <w:color w:val="FFFFFF"/>
          <w:sz w:val="19"/>
          <w:szCs w:val="19"/>
          <w:shd w:fill="1E5C48" w:val="clear"/>
        </w:rPr>
        <w:t xml:space="preserve"> POST </w:t>
      </w:r>
      <w:r>
        <w:rPr>
          <w:rFonts w:ascii="Consolas" w:cs="Consolas" w:eastAsia="Consolas" w:hAnsi="Consolas"/>
          <w:color w:val="1A1F1C"/>
          <w:sz w:val="19"/>
          <w:szCs w:val="19"/>
        </w:rPr>
        <w:t xml:space="preserve">  /announcements/{id}/read</w:t>
      </w:r>
      <w:r>
        <w:rPr>
          <w:rFonts w:ascii="Calibri" w:cs="Calibri" w:eastAsia="Calibri" w:hAnsi="Calibri"/>
          <w:i/>
          <w:iCs/>
          <w:color w:val="5F6862"/>
          <w:sz w:val="17"/>
          <w:szCs w:val="17"/>
        </w:rPr>
        <w:t xml:space="preserve">     token required</w:t>
      </w:r>
    </w:p>
    <w:p>
      <w:pPr>
        <w:shd w:fill="F1F4F1" w:val="clear"/>
        <w:spacing w:after="0" w:before="4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{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"data": { "id": 1, "read": true },</w:t>
      </w:r>
    </w:p>
    <w:p>
      <w:pPr>
        <w:shd w:fill="F1F4F1" w:val="clear"/>
        <w:spacing w:after="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  "meta": { "unread": 4 }</w:t>
      </w:r>
    </w:p>
    <w:p>
      <w:pPr>
        <w:shd w:fill="F1F4F1" w:val="clear"/>
        <w:spacing w:after="180" w:before="0" w:line="230"/>
        <w:ind w:left="140" w:right="140"/>
      </w:pPr>
      <w:r>
        <w:rPr>
          <w:rFonts w:ascii="Consolas" w:cs="Consolas" w:eastAsia="Consolas" w:hAnsi="Consolas"/>
          <w:color w:val="2C3530"/>
          <w:sz w:val="16"/>
          <w:szCs w:val="16"/>
        </w:rPr>
        <w:t xml:space="preserve">}</w:t>
      </w:r>
    </w:p>
    <w:p>
      <w:pPr>
        <w:spacing w:after="140" w:line="290"/>
      </w:pPr>
      <w:r>
        <w:rPr>
          <w:rFonts w:ascii="Consolas" w:cs="Consolas" w:eastAsia="Consolas" w:hAnsi="Consolas"/>
          <w:color w:val="2C3530"/>
          <w:sz w:val="19"/>
          <w:szCs w:val="19"/>
        </w:rPr>
        <w:t xml:space="preserve">meta.unread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 is the new count, so the bell updates without refetching the feed. It excludes muted categories exactly as the feed does — the badge can never sit on a number the reader has no way to clear.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Calling it twice is harmless. A notification addressed to another reader returns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403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; an unpublished one returns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404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.</w:t>
      </w:r>
    </w:p>
    <w:p>
      <w:pPr>
        <w:pBdr>
          <w:left w:val="single" w:color="1E5C48" w:sz="18" w:space="10"/>
        </w:pBdr>
        <w:spacing w:after="40" w:before="160"/>
        <w:ind w:left="120"/>
      </w:pPr>
      <w:r>
        <w:rPr>
          <w:rFonts w:ascii="Calibri" w:cs="Calibri" w:eastAsia="Calibri" w:hAnsi="Calibri"/>
          <w:b/>
          <w:bCs/>
          <w:color w:val="1E5C48"/>
          <w:sz w:val="21"/>
          <w:szCs w:val="21"/>
        </w:rPr>
        <w:t xml:space="preserve">Why this exists when GET already marks it read</w:t>
      </w:r>
    </w:p>
    <w:p>
      <w:pPr>
        <w:pBdr>
          <w:left w:val="single" w:color="1E5C48" w:sz="18" w:space="10"/>
        </w:pBdr>
        <w:spacing w:after="150" w:line="290"/>
        <w:ind w:left="120"/>
      </w:pPr>
      <w:r>
        <w:rPr>
          <w:rFonts w:ascii="Calibri" w:cs="Calibri" w:eastAsia="Calibri" w:hAnsi="Calibri"/>
          <w:color w:val="3C4741"/>
          <w:sz w:val="20"/>
          <w:szCs w:val="20"/>
        </w:rPr>
        <w:t xml:space="preserve">Opening a notification with GET does mark it read, and still does. But a GET is the request most likely to be served from a cache and never reach the server, and a reader opening a notification from a list they already hold has no reason to fetch the body again. This endpoint is what the app calls at the moment it decides the notification has been seen.</w:t>
      </w:r>
    </w:p>
    <w:p>
      <w:pPr>
        <w:spacing w:after="120" w:before="380"/>
      </w:pPr>
      <w:r>
        <w:rPr>
          <w:rFonts w:ascii="Calibri" w:cs="Calibri" w:eastAsia="Calibri" w:hAnsi="Calibri"/>
          <w:b/>
          <w:bCs/>
          <w:color w:val="1A1F1C"/>
          <w:sz w:val="27"/>
          <w:szCs w:val="27"/>
        </w:rPr>
        <w:t xml:space="preserve">A note on languages</w:t>
      </w:r>
    </w:p>
    <w:p>
      <w:pPr>
        <w:spacing w:after="140" w:line="290"/>
      </w:pPr>
      <w:r>
        <w:rPr>
          <w:rFonts w:ascii="Calibri" w:cs="Calibri" w:eastAsia="Calibri" w:hAnsi="Calibri"/>
          <w:color w:val="1A1F1C"/>
          <w:sz w:val="21"/>
          <w:szCs w:val="21"/>
        </w:rPr>
        <w:t xml:space="preserve">Every message above is returned in the request’s language —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?lang=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X-Locale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2C3530"/>
          <w:sz w:val="19"/>
          <w:szCs w:val="19"/>
        </w:rPr>
        <w:t xml:space="preserve">Accept-Language</w:t>
      </w:r>
      <w:r>
        <w:rPr>
          <w:rFonts w:ascii="Calibri" w:cs="Calibri" w:eastAsia="Calibri" w:hAnsi="Calibri"/>
          <w:color w:val="1A1F1C"/>
          <w:sz w:val="21"/>
          <w:szCs w:val="21"/>
        </w:rPr>
        <w:t xml:space="preserve">, in that order of precedence — including field validation errors.</w:t>
      </w:r>
    </w:p>
    <w:p>
      <w:pPr>
        <w:pBdr>
          <w:left w:val="single" w:color="1E5C48" w:sz="18" w:space="10"/>
        </w:pBdr>
        <w:spacing w:after="40" w:before="160"/>
        <w:ind w:left="120"/>
      </w:pPr>
      <w:r>
        <w:rPr>
          <w:rFonts w:ascii="Calibri" w:cs="Calibri" w:eastAsia="Calibri" w:hAnsi="Calibri"/>
          <w:b/>
          <w:bCs/>
          <w:color w:val="1E5C48"/>
          <w:sz w:val="21"/>
          <w:szCs w:val="21"/>
        </w:rPr>
        <w:t xml:space="preserve">This was not previously true</w:t>
      </w:r>
    </w:p>
    <w:p>
      <w:pPr>
        <w:pBdr>
          <w:left w:val="single" w:color="1E5C48" w:sz="18" w:space="10"/>
        </w:pBdr>
        <w:spacing w:after="150" w:line="290"/>
        <w:ind w:left="120"/>
      </w:pPr>
      <w:r>
        <w:rPr>
          <w:rFonts w:ascii="Calibri" w:cs="Calibri" w:eastAsia="Calibri" w:hAnsi="Calibri"/>
          <w:color w:val="3C4741"/>
          <w:sz w:val="20"/>
          <w:szCs w:val="20"/>
        </w:rPr>
        <w:t xml:space="preserve">There was no lang directory at all, so every API message fell through to its English literal: the API answered an Arabic app in English. All 32 messages plus the validation rules are now translated into Arabic, French and Urdu.</w:t>
      </w:r>
    </w:p>
    <w:p>
      <w:pPr>
        <w:pBdr>
          <w:top w:val="single" w:color="C9D1CB" w:sz="4" w:space="8"/>
        </w:pBdr>
        <w:spacing w:before="380"/>
      </w:pPr>
      <w:r>
        <w:rPr>
          <w:rFonts w:ascii="Segoe UI" w:cs="Segoe UI" w:eastAsia="Segoe UI" w:hAnsi="Segoe UI"/>
          <w:color w:val="5F6862"/>
          <w:sz w:val="17"/>
          <w:szCs w:val="17"/>
          <w:rtl/>
        </w:rPr>
        <w:t xml:space="preserve">جمعية مرتقي العلمية</w:t>
      </w:r>
      <w:r>
        <w:rPr>
          <w:rFonts w:ascii="Calibri" w:cs="Calibri" w:eastAsia="Calibri" w:hAnsi="Calibri"/>
          <w:color w:val="5F6862"/>
          <w:sz w:val="17"/>
          <w:szCs w:val="17"/>
        </w:rPr>
        <w:t xml:space="preserve">   ·   Postman collection: 89 requests, in the postman folder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1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Himam — Auth APIs</dc:title>
  <dc:creator>Himam</dc:creator>
  <dc:description>Registration, countries, password reset and notification reads.</dc:description>
  <cp:lastModifiedBy>Un-named</cp:lastModifiedBy>
  <cp:revision>1</cp:revision>
  <dcterms:created xsi:type="dcterms:W3CDTF">2026-10-10T16:42:26.315Z</dcterms:created>
  <dcterms:modified xsi:type="dcterms:W3CDTF">2026-10-10T16:42:26.327Z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