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Data Fairness Reflection</w:t>
      </w:r>
    </w:p>
    <w:p>
      <w:pPr>
        <w:spacing w:after="120"/>
      </w:pPr>
      <w:r>
        <w:rPr>
          <w:i/>
          <w:iCs/>
          <w:color w:val="555555"/>
        </w:rPr>
        <w:t xml:space="preserve">City Library After-School Program — Task 3: Data Fairness and Version Control</w:t>
      </w:r>
    </w:p>
    <w:p>
      <w:pPr>
        <w:spacing w:after="120"/>
      </w:pPr>
      <w:r>
        <w:rPr>
          <w:i/>
          <w:iCs/>
          <w:color w:val="555555"/>
        </w:rPr>
        <w:t xml:space="preserve">Source file: task2_cleaned_data.csv (80 members, 404 checkouts across 5 neighborhoods)</w:t>
      </w:r>
    </w:p>
    <w:p>
      <w:pPr>
        <w:pStyle w:val="Heading1"/>
        <w:spacing w:after="150" w:before="300"/>
      </w:pPr>
      <w:r>
        <w:t xml:space="preserve">The Comparison</w:t>
      </w:r>
    </w:p>
    <w:p>
      <w:pPr>
        <w:spacing w:after="120"/>
      </w:pPr>
      <w:r>
        <w:t xml:space="preserve">For each neighborhood the program serves, two numbers were gathered: how many registered members live there, and how many checkouts (regular checkouts plus Reading Kickoff checkouts) those members made. Neither number means much alone — a neighborhood with more members will naturally produce more checkouts. What matters is whether a neighborhood’s share of checkouts keeps pace with its share of members, which is what the table below places side by side.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300"/>
        <w:gridCol w:w="1100"/>
        <w:gridCol w:w="1300"/>
        <w:gridCol w:w="1500"/>
        <w:gridCol w:w="2000"/>
      </w:tblGrid>
      <w:tr>
        <w:tc>
          <w:tcPr>
            <w:tcW w:type="dxa" w:w="1500"/>
            <w:shd w:fill="00095A" w:color="auto" w:val="clear"/>
            <w:tcMar>
              <w:top w:type="dxa" w:w="80"/>
              <w:left w:type="dxa" w:w="120"/>
              <w:bottom w:type="dxa" w:w="80"/>
              <w:right w:type="dxa" w:w="120"/>
            </w:tcMar>
          </w:tcPr>
          <w:p>
            <w:r>
              <w:rPr>
                <w:b/>
                <w:bCs/>
                <w:color w:val="FFFFFF"/>
              </w:rPr>
              <w:t xml:space="preserve">Neighborhood</w:t>
            </w:r>
          </w:p>
        </w:tc>
        <w:tc>
          <w:tcPr>
            <w:tcW w:type="dxa" w:w="1000"/>
            <w:shd w:fill="00095A" w:color="auto" w:val="clear"/>
            <w:tcMar>
              <w:top w:type="dxa" w:w="80"/>
              <w:left w:type="dxa" w:w="120"/>
              <w:bottom w:type="dxa" w:w="80"/>
              <w:right w:type="dxa" w:w="120"/>
            </w:tcMar>
          </w:tcPr>
          <w:p>
            <w:r>
              <w:rPr>
                <w:b/>
                <w:bCs/>
                <w:color w:val="FFFFFF"/>
              </w:rPr>
              <w:t xml:space="preserve">Members</w:t>
            </w:r>
          </w:p>
        </w:tc>
        <w:tc>
          <w:tcPr>
            <w:tcW w:type="dxa" w:w="1300"/>
            <w:shd w:fill="00095A" w:color="auto" w:val="clear"/>
            <w:tcMar>
              <w:top w:type="dxa" w:w="80"/>
              <w:left w:type="dxa" w:w="120"/>
              <w:bottom w:type="dxa" w:w="80"/>
              <w:right w:type="dxa" w:w="120"/>
            </w:tcMar>
          </w:tcPr>
          <w:p>
            <w:r>
              <w:rPr>
                <w:b/>
                <w:bCs/>
                <w:color w:val="FFFFFF"/>
              </w:rPr>
              <w:t xml:space="preserve">% of members</w:t>
            </w:r>
          </w:p>
        </w:tc>
        <w:tc>
          <w:tcPr>
            <w:tcW w:type="dxa" w:w="1100"/>
            <w:shd w:fill="00095A" w:color="auto" w:val="clear"/>
            <w:tcMar>
              <w:top w:type="dxa" w:w="80"/>
              <w:left w:type="dxa" w:w="120"/>
              <w:bottom w:type="dxa" w:w="80"/>
              <w:right w:type="dxa" w:w="120"/>
            </w:tcMar>
          </w:tcPr>
          <w:p>
            <w:r>
              <w:rPr>
                <w:b/>
                <w:bCs/>
                <w:color w:val="FFFFFF"/>
              </w:rPr>
              <w:t xml:space="preserve">Checkouts</w:t>
            </w:r>
          </w:p>
        </w:tc>
        <w:tc>
          <w:tcPr>
            <w:tcW w:type="dxa" w:w="1300"/>
            <w:shd w:fill="00095A" w:color="auto" w:val="clear"/>
            <w:tcMar>
              <w:top w:type="dxa" w:w="80"/>
              <w:left w:type="dxa" w:w="120"/>
              <w:bottom w:type="dxa" w:w="80"/>
              <w:right w:type="dxa" w:w="120"/>
            </w:tcMar>
          </w:tcPr>
          <w:p>
            <w:r>
              <w:rPr>
                <w:b/>
                <w:bCs/>
                <w:color w:val="FFFFFF"/>
              </w:rPr>
              <w:t xml:space="preserve">% of checkouts</w:t>
            </w:r>
          </w:p>
        </w:tc>
        <w:tc>
          <w:tcPr>
            <w:tcW w:type="dxa" w:w="1500"/>
            <w:shd w:fill="00095A" w:color="auto" w:val="clear"/>
            <w:tcMar>
              <w:top w:type="dxa" w:w="80"/>
              <w:left w:type="dxa" w:w="120"/>
              <w:bottom w:type="dxa" w:w="80"/>
              <w:right w:type="dxa" w:w="120"/>
            </w:tcMar>
          </w:tcPr>
          <w:p>
            <w:r>
              <w:rPr>
                <w:b/>
                <w:bCs/>
                <w:color w:val="FFFFFF"/>
              </w:rPr>
              <w:t xml:space="preserve">Checkouts / member</w:t>
            </w:r>
          </w:p>
        </w:tc>
        <w:tc>
          <w:tcPr>
            <w:tcW w:type="dxa" w:w="2000"/>
            <w:shd w:fill="00095A" w:color="auto" w:val="clear"/>
            <w:tcMar>
              <w:top w:type="dxa" w:w="80"/>
              <w:left w:type="dxa" w:w="120"/>
              <w:bottom w:type="dxa" w:w="80"/>
              <w:right w:type="dxa" w:w="120"/>
            </w:tcMar>
          </w:tcPr>
          <w:p>
            <w:r>
              <w:rPr>
                <w:b/>
                <w:bCs/>
                <w:color w:val="FFFFFF"/>
              </w:rPr>
              <w:t xml:space="preserve">% vs. program avg (5.05)</w:t>
            </w:r>
          </w:p>
        </w:tc>
      </w:tr>
      <w:tr>
        <w:tc>
          <w:tcPr>
            <w:tcW w:type="dxa" w:w="1500"/>
            <w:tcMar>
              <w:top w:type="dxa" w:w="80"/>
              <w:left w:type="dxa" w:w="120"/>
              <w:bottom w:type="dxa" w:w="80"/>
              <w:right w:type="dxa" w:w="120"/>
            </w:tcMar>
          </w:tcPr>
          <w:p>
            <w:r>
              <w:t xml:space="preserve">Shubra</w:t>
            </w:r>
          </w:p>
        </w:tc>
        <w:tc>
          <w:tcPr>
            <w:tcW w:type="dxa" w:w="1000"/>
            <w:tcMar>
              <w:top w:type="dxa" w:w="80"/>
              <w:left w:type="dxa" w:w="120"/>
              <w:bottom w:type="dxa" w:w="80"/>
              <w:right w:type="dxa" w:w="120"/>
            </w:tcMar>
          </w:tcPr>
          <w:p>
            <w:r>
              <w:t xml:space="preserve">6</w:t>
            </w:r>
          </w:p>
        </w:tc>
        <w:tc>
          <w:tcPr>
            <w:tcW w:type="dxa" w:w="1300"/>
            <w:tcMar>
              <w:top w:type="dxa" w:w="80"/>
              <w:left w:type="dxa" w:w="120"/>
              <w:bottom w:type="dxa" w:w="80"/>
              <w:right w:type="dxa" w:w="120"/>
            </w:tcMar>
          </w:tcPr>
          <w:p>
            <w:r>
              <w:t xml:space="preserve">7.5%</w:t>
            </w:r>
          </w:p>
        </w:tc>
        <w:tc>
          <w:tcPr>
            <w:tcW w:type="dxa" w:w="1100"/>
            <w:tcMar>
              <w:top w:type="dxa" w:w="80"/>
              <w:left w:type="dxa" w:w="120"/>
              <w:bottom w:type="dxa" w:w="80"/>
              <w:right w:type="dxa" w:w="120"/>
            </w:tcMar>
          </w:tcPr>
          <w:p>
            <w:r>
              <w:t xml:space="preserve">34</w:t>
            </w:r>
          </w:p>
        </w:tc>
        <w:tc>
          <w:tcPr>
            <w:tcW w:type="dxa" w:w="1300"/>
            <w:tcMar>
              <w:top w:type="dxa" w:w="80"/>
              <w:left w:type="dxa" w:w="120"/>
              <w:bottom w:type="dxa" w:w="80"/>
              <w:right w:type="dxa" w:w="120"/>
            </w:tcMar>
          </w:tcPr>
          <w:p>
            <w:r>
              <w:t xml:space="preserve">8.4%</w:t>
            </w:r>
          </w:p>
        </w:tc>
        <w:tc>
          <w:tcPr>
            <w:tcW w:type="dxa" w:w="1500"/>
            <w:tcMar>
              <w:top w:type="dxa" w:w="80"/>
              <w:left w:type="dxa" w:w="120"/>
              <w:bottom w:type="dxa" w:w="80"/>
              <w:right w:type="dxa" w:w="120"/>
            </w:tcMar>
          </w:tcPr>
          <w:p>
            <w:r>
              <w:t xml:space="preserve">5.67</w:t>
            </w:r>
          </w:p>
        </w:tc>
        <w:tc>
          <w:tcPr>
            <w:tcW w:type="dxa" w:w="2000"/>
            <w:tcMar>
              <w:top w:type="dxa" w:w="80"/>
              <w:left w:type="dxa" w:w="120"/>
              <w:bottom w:type="dxa" w:w="80"/>
              <w:right w:type="dxa" w:w="120"/>
            </w:tcMar>
          </w:tcPr>
          <w:p>
            <w:r>
              <w:t xml:space="preserve">+12.3%</w:t>
            </w:r>
          </w:p>
        </w:tc>
      </w:tr>
      <w:tr>
        <w:tc>
          <w:tcPr>
            <w:tcW w:type="dxa" w:w="1500"/>
            <w:tcMar>
              <w:top w:type="dxa" w:w="80"/>
              <w:left w:type="dxa" w:w="120"/>
              <w:bottom w:type="dxa" w:w="80"/>
              <w:right w:type="dxa" w:w="120"/>
            </w:tcMar>
          </w:tcPr>
          <w:p>
            <w:r>
              <w:t xml:space="preserve">Maadi</w:t>
            </w:r>
          </w:p>
        </w:tc>
        <w:tc>
          <w:tcPr>
            <w:tcW w:type="dxa" w:w="1000"/>
            <w:tcMar>
              <w:top w:type="dxa" w:w="80"/>
              <w:left w:type="dxa" w:w="120"/>
              <w:bottom w:type="dxa" w:w="80"/>
              <w:right w:type="dxa" w:w="120"/>
            </w:tcMar>
          </w:tcPr>
          <w:p>
            <w:r>
              <w:t xml:space="preserve">22</w:t>
            </w:r>
          </w:p>
        </w:tc>
        <w:tc>
          <w:tcPr>
            <w:tcW w:type="dxa" w:w="1300"/>
            <w:tcMar>
              <w:top w:type="dxa" w:w="80"/>
              <w:left w:type="dxa" w:w="120"/>
              <w:bottom w:type="dxa" w:w="80"/>
              <w:right w:type="dxa" w:w="120"/>
            </w:tcMar>
          </w:tcPr>
          <w:p>
            <w:r>
              <w:t xml:space="preserve">27.5%</w:t>
            </w:r>
          </w:p>
        </w:tc>
        <w:tc>
          <w:tcPr>
            <w:tcW w:type="dxa" w:w="1100"/>
            <w:tcMar>
              <w:top w:type="dxa" w:w="80"/>
              <w:left w:type="dxa" w:w="120"/>
              <w:bottom w:type="dxa" w:w="80"/>
              <w:right w:type="dxa" w:w="120"/>
            </w:tcMar>
          </w:tcPr>
          <w:p>
            <w:r>
              <w:t xml:space="preserve">114</w:t>
            </w:r>
          </w:p>
        </w:tc>
        <w:tc>
          <w:tcPr>
            <w:tcW w:type="dxa" w:w="1300"/>
            <w:tcMar>
              <w:top w:type="dxa" w:w="80"/>
              <w:left w:type="dxa" w:w="120"/>
              <w:bottom w:type="dxa" w:w="80"/>
              <w:right w:type="dxa" w:w="120"/>
            </w:tcMar>
          </w:tcPr>
          <w:p>
            <w:r>
              <w:t xml:space="preserve">28.2%</w:t>
            </w:r>
          </w:p>
        </w:tc>
        <w:tc>
          <w:tcPr>
            <w:tcW w:type="dxa" w:w="1500"/>
            <w:tcMar>
              <w:top w:type="dxa" w:w="80"/>
              <w:left w:type="dxa" w:w="120"/>
              <w:bottom w:type="dxa" w:w="80"/>
              <w:right w:type="dxa" w:w="120"/>
            </w:tcMar>
          </w:tcPr>
          <w:p>
            <w:r>
              <w:t xml:space="preserve">5.18</w:t>
            </w:r>
          </w:p>
        </w:tc>
        <w:tc>
          <w:tcPr>
            <w:tcW w:type="dxa" w:w="2000"/>
            <w:tcMar>
              <w:top w:type="dxa" w:w="80"/>
              <w:left w:type="dxa" w:w="120"/>
              <w:bottom w:type="dxa" w:w="80"/>
              <w:right w:type="dxa" w:w="120"/>
            </w:tcMar>
          </w:tcPr>
          <w:p>
            <w:r>
              <w:t xml:space="preserve">+2.6%</w:t>
            </w:r>
          </w:p>
        </w:tc>
      </w:tr>
      <w:tr>
        <w:tc>
          <w:tcPr>
            <w:tcW w:type="dxa" w:w="1500"/>
            <w:tcMar>
              <w:top w:type="dxa" w:w="80"/>
              <w:left w:type="dxa" w:w="120"/>
              <w:bottom w:type="dxa" w:w="80"/>
              <w:right w:type="dxa" w:w="120"/>
            </w:tcMar>
          </w:tcPr>
          <w:p>
            <w:r>
              <w:t xml:space="preserve">Nasr City</w:t>
            </w:r>
          </w:p>
        </w:tc>
        <w:tc>
          <w:tcPr>
            <w:tcW w:type="dxa" w:w="1000"/>
            <w:tcMar>
              <w:top w:type="dxa" w:w="80"/>
              <w:left w:type="dxa" w:w="120"/>
              <w:bottom w:type="dxa" w:w="80"/>
              <w:right w:type="dxa" w:w="120"/>
            </w:tcMar>
          </w:tcPr>
          <w:p>
            <w:r>
              <w:t xml:space="preserve">20</w:t>
            </w:r>
          </w:p>
        </w:tc>
        <w:tc>
          <w:tcPr>
            <w:tcW w:type="dxa" w:w="1300"/>
            <w:tcMar>
              <w:top w:type="dxa" w:w="80"/>
              <w:left w:type="dxa" w:w="120"/>
              <w:bottom w:type="dxa" w:w="80"/>
              <w:right w:type="dxa" w:w="120"/>
            </w:tcMar>
          </w:tcPr>
          <w:p>
            <w:r>
              <w:t xml:space="preserve">25.0%</w:t>
            </w:r>
          </w:p>
        </w:tc>
        <w:tc>
          <w:tcPr>
            <w:tcW w:type="dxa" w:w="1100"/>
            <w:tcMar>
              <w:top w:type="dxa" w:w="80"/>
              <w:left w:type="dxa" w:w="120"/>
              <w:bottom w:type="dxa" w:w="80"/>
              <w:right w:type="dxa" w:w="120"/>
            </w:tcMar>
          </w:tcPr>
          <w:p>
            <w:r>
              <w:t xml:space="preserve">101</w:t>
            </w:r>
          </w:p>
        </w:tc>
        <w:tc>
          <w:tcPr>
            <w:tcW w:type="dxa" w:w="1300"/>
            <w:tcMar>
              <w:top w:type="dxa" w:w="80"/>
              <w:left w:type="dxa" w:w="120"/>
              <w:bottom w:type="dxa" w:w="80"/>
              <w:right w:type="dxa" w:w="120"/>
            </w:tcMar>
          </w:tcPr>
          <w:p>
            <w:r>
              <w:t xml:space="preserve">25.0%</w:t>
            </w:r>
          </w:p>
        </w:tc>
        <w:tc>
          <w:tcPr>
            <w:tcW w:type="dxa" w:w="1500"/>
            <w:tcMar>
              <w:top w:type="dxa" w:w="80"/>
              <w:left w:type="dxa" w:w="120"/>
              <w:bottom w:type="dxa" w:w="80"/>
              <w:right w:type="dxa" w:w="120"/>
            </w:tcMar>
          </w:tcPr>
          <w:p>
            <w:r>
              <w:t xml:space="preserve">5.05</w:t>
            </w:r>
          </w:p>
        </w:tc>
        <w:tc>
          <w:tcPr>
            <w:tcW w:type="dxa" w:w="2000"/>
            <w:tcMar>
              <w:top w:type="dxa" w:w="80"/>
              <w:left w:type="dxa" w:w="120"/>
              <w:bottom w:type="dxa" w:w="80"/>
              <w:right w:type="dxa" w:w="120"/>
            </w:tcMar>
          </w:tcPr>
          <w:p>
            <w:r>
              <w:t xml:space="preserve">0.0%</w:t>
            </w:r>
          </w:p>
        </w:tc>
      </w:tr>
      <w:tr>
        <w:tc>
          <w:tcPr>
            <w:tcW w:type="dxa" w:w="1500"/>
            <w:tcMar>
              <w:top w:type="dxa" w:w="80"/>
              <w:left w:type="dxa" w:w="120"/>
              <w:bottom w:type="dxa" w:w="80"/>
              <w:right w:type="dxa" w:w="120"/>
            </w:tcMar>
          </w:tcPr>
          <w:p>
            <w:r>
              <w:t xml:space="preserve">Zamalek</w:t>
            </w:r>
          </w:p>
        </w:tc>
        <w:tc>
          <w:tcPr>
            <w:tcW w:type="dxa" w:w="1000"/>
            <w:tcMar>
              <w:top w:type="dxa" w:w="80"/>
              <w:left w:type="dxa" w:w="120"/>
              <w:bottom w:type="dxa" w:w="80"/>
              <w:right w:type="dxa" w:w="120"/>
            </w:tcMar>
          </w:tcPr>
          <w:p>
            <w:r>
              <w:t xml:space="preserve">14</w:t>
            </w:r>
          </w:p>
        </w:tc>
        <w:tc>
          <w:tcPr>
            <w:tcW w:type="dxa" w:w="1300"/>
            <w:tcMar>
              <w:top w:type="dxa" w:w="80"/>
              <w:left w:type="dxa" w:w="120"/>
              <w:bottom w:type="dxa" w:w="80"/>
              <w:right w:type="dxa" w:w="120"/>
            </w:tcMar>
          </w:tcPr>
          <w:p>
            <w:r>
              <w:t xml:space="preserve">17.5%</w:t>
            </w:r>
          </w:p>
        </w:tc>
        <w:tc>
          <w:tcPr>
            <w:tcW w:type="dxa" w:w="1100"/>
            <w:tcMar>
              <w:top w:type="dxa" w:w="80"/>
              <w:left w:type="dxa" w:w="120"/>
              <w:bottom w:type="dxa" w:w="80"/>
              <w:right w:type="dxa" w:w="120"/>
            </w:tcMar>
          </w:tcPr>
          <w:p>
            <w:r>
              <w:t xml:space="preserve">68</w:t>
            </w:r>
          </w:p>
        </w:tc>
        <w:tc>
          <w:tcPr>
            <w:tcW w:type="dxa" w:w="1300"/>
            <w:tcMar>
              <w:top w:type="dxa" w:w="80"/>
              <w:left w:type="dxa" w:w="120"/>
              <w:bottom w:type="dxa" w:w="80"/>
              <w:right w:type="dxa" w:w="120"/>
            </w:tcMar>
          </w:tcPr>
          <w:p>
            <w:r>
              <w:t xml:space="preserve">16.8%</w:t>
            </w:r>
          </w:p>
        </w:tc>
        <w:tc>
          <w:tcPr>
            <w:tcW w:type="dxa" w:w="1500"/>
            <w:tcMar>
              <w:top w:type="dxa" w:w="80"/>
              <w:left w:type="dxa" w:w="120"/>
              <w:bottom w:type="dxa" w:w="80"/>
              <w:right w:type="dxa" w:w="120"/>
            </w:tcMar>
          </w:tcPr>
          <w:p>
            <w:r>
              <w:t xml:space="preserve">4.86</w:t>
            </w:r>
          </w:p>
        </w:tc>
        <w:tc>
          <w:tcPr>
            <w:tcW w:type="dxa" w:w="2000"/>
            <w:tcMar>
              <w:top w:type="dxa" w:w="80"/>
              <w:left w:type="dxa" w:w="120"/>
              <w:bottom w:type="dxa" w:w="80"/>
              <w:right w:type="dxa" w:w="120"/>
            </w:tcMar>
          </w:tcPr>
          <w:p>
            <w:r>
              <w:t xml:space="preserve">-3.8%</w:t>
            </w:r>
          </w:p>
        </w:tc>
      </w:tr>
      <w:tr>
        <w:tc>
          <w:tcPr>
            <w:tcW w:type="dxa" w:w="1500"/>
            <w:tcMar>
              <w:top w:type="dxa" w:w="80"/>
              <w:left w:type="dxa" w:w="120"/>
              <w:bottom w:type="dxa" w:w="80"/>
              <w:right w:type="dxa" w:w="120"/>
            </w:tcMar>
          </w:tcPr>
          <w:p>
            <w:r>
              <w:t xml:space="preserve">Heliopolis</w:t>
            </w:r>
          </w:p>
        </w:tc>
        <w:tc>
          <w:tcPr>
            <w:tcW w:type="dxa" w:w="1000"/>
            <w:tcMar>
              <w:top w:type="dxa" w:w="80"/>
              <w:left w:type="dxa" w:w="120"/>
              <w:bottom w:type="dxa" w:w="80"/>
              <w:right w:type="dxa" w:w="120"/>
            </w:tcMar>
          </w:tcPr>
          <w:p>
            <w:r>
              <w:t xml:space="preserve">18</w:t>
            </w:r>
          </w:p>
        </w:tc>
        <w:tc>
          <w:tcPr>
            <w:tcW w:type="dxa" w:w="1300"/>
            <w:tcMar>
              <w:top w:type="dxa" w:w="80"/>
              <w:left w:type="dxa" w:w="120"/>
              <w:bottom w:type="dxa" w:w="80"/>
              <w:right w:type="dxa" w:w="120"/>
            </w:tcMar>
          </w:tcPr>
          <w:p>
            <w:r>
              <w:t xml:space="preserve">22.5%</w:t>
            </w:r>
          </w:p>
        </w:tc>
        <w:tc>
          <w:tcPr>
            <w:tcW w:type="dxa" w:w="1100"/>
            <w:tcMar>
              <w:top w:type="dxa" w:w="80"/>
              <w:left w:type="dxa" w:w="120"/>
              <w:bottom w:type="dxa" w:w="80"/>
              <w:right w:type="dxa" w:w="120"/>
            </w:tcMar>
          </w:tcPr>
          <w:p>
            <w:r>
              <w:t xml:space="preserve">87</w:t>
            </w:r>
          </w:p>
        </w:tc>
        <w:tc>
          <w:tcPr>
            <w:tcW w:type="dxa" w:w="1300"/>
            <w:tcMar>
              <w:top w:type="dxa" w:w="80"/>
              <w:left w:type="dxa" w:w="120"/>
              <w:bottom w:type="dxa" w:w="80"/>
              <w:right w:type="dxa" w:w="120"/>
            </w:tcMar>
          </w:tcPr>
          <w:p>
            <w:r>
              <w:t xml:space="preserve">21.5%</w:t>
            </w:r>
          </w:p>
        </w:tc>
        <w:tc>
          <w:tcPr>
            <w:tcW w:type="dxa" w:w="1500"/>
            <w:tcMar>
              <w:top w:type="dxa" w:w="80"/>
              <w:left w:type="dxa" w:w="120"/>
              <w:bottom w:type="dxa" w:w="80"/>
              <w:right w:type="dxa" w:w="120"/>
            </w:tcMar>
          </w:tcPr>
          <w:p>
            <w:r>
              <w:t xml:space="preserve">4.83</w:t>
            </w:r>
          </w:p>
        </w:tc>
        <w:tc>
          <w:tcPr>
            <w:tcW w:type="dxa" w:w="2000"/>
            <w:tcMar>
              <w:top w:type="dxa" w:w="80"/>
              <w:left w:type="dxa" w:w="120"/>
              <w:bottom w:type="dxa" w:w="80"/>
              <w:right w:type="dxa" w:w="120"/>
            </w:tcMar>
          </w:tcPr>
          <w:p>
            <w:r>
              <w:t xml:space="preserve">-4.4%</w:t>
            </w:r>
          </w:p>
        </w:tc>
      </w:tr>
    </w:tbl>
    <w:p>
      <w:pPr>
        <w:spacing w:after="150"/>
      </w:pPr>
    </w:p>
    <w:p>
      <w:pPr>
        <w:pStyle w:val="Heading1"/>
        <w:spacing w:after="150" w:before="300"/>
      </w:pPr>
      <w:r>
        <w:t xml:space="preserve">1. Basis</w:t>
      </w:r>
    </w:p>
    <w:p>
      <w:pPr>
        <w:spacing w:after="120"/>
      </w:pPr>
      <w:r>
        <w:t xml:space="preserve">A neighborhood was treated as under-represented if its members, on average, checked out meaningfully fewer books than members elsewhere in the program — specifically, if its checkouts-per-member rate fell more than about 15% below the program-wide average (5.05 checkouts per member). This standard was chosen because it directly answers the question the numbers were gathered to ask: given how many members a neighborhood has, is its checkout activity in line with that, or lagging behind it? A neighborhood with fewer members isn’t automatically under-represented — Shubra has the fewest members here — but it would be if those members also checked out books at a noticeably lower rate.</w:t>
      </w:r>
    </w:p>
    <w:p>
      <w:pPr>
        <w:pStyle w:val="Heading1"/>
        <w:spacing w:after="150" w:before="300"/>
      </w:pPr>
      <w:r>
        <w:t xml:space="preserve">2. Finding</w:t>
      </w:r>
    </w:p>
    <w:p>
      <w:pPr>
        <w:spacing w:after="120"/>
      </w:pPr>
      <w:r>
        <w:t xml:space="preserve">None of the five neighborhoods crossed that threshold. Checkouts-per-member ranged from 4.83 (Heliopolis) to 5.67 (Shubra) — a spread of well under 15% from the program average in either direction, and every neighborhood’s share of total checkouts landed within about a percentage point of its share of total members (for example, Maadi is 27.5% of members and 28.2% of checkouts; Nasr City is 25.0% of both). By the standard above, no neighborhood is under-represented in checkout activity relative to its own membership.</w:t>
      </w:r>
    </w:p>
    <w:p>
      <w:pPr>
        <w:spacing w:after="120"/>
      </w:pPr>
      <w:r>
        <w:t xml:space="preserve">One number is still worth flagging, even though it isn’t a checkout-fairness gap: Shubra makes up only 7.5% of the total membership roster — 6 members, well below every other neighborhood (14 to 22). Its members are, if anything, the most active checkout-per-member group in the program. That combination — small membership, high engagement once enrolled — points to a gap earlier in the pipeline than checkouts: fewer children from Shubra are signed up for the program in the first place, not that the ones who join are being underserved once they’re in it.</w:t>
      </w:r>
    </w:p>
    <w:p>
      <w:pPr>
        <w:pStyle w:val="Heading1"/>
        <w:spacing w:after="150" w:before="300"/>
      </w:pPr>
      <w:r>
        <w:t xml:space="preserve">3. A Plausible Reason</w:t>
      </w:r>
    </w:p>
    <w:p>
      <w:pPr>
        <w:spacing w:after="120"/>
      </w:pPr>
      <w:r>
        <w:t xml:space="preserve">Shubra’s small membership base is plausibly a distance-and-awareness issue rather than a lack of interest: it has under half the members of the next-smallest neighborhood, which is consistent with families there being less likely to pass by the library branch or hear about the After-School Program through the same word-of-mouth channels that reach the other four neighborhoods. The high checkouts-per-member rate among the Shubra members who did enroll supports this reading — once a Shubra family finds the program, their kids use it as much as or more than anyone else’s.</w:t>
      </w:r>
    </w:p>
    <w:p>
      <w:pPr>
        <w:pStyle w:val="Heading1"/>
        <w:spacing w:after="150" w:before="300"/>
      </w:pPr>
      <w:r>
        <w:t xml:space="preserve">4. A Next Step</w:t>
      </w:r>
    </w:p>
    <w:p>
      <w:pPr>
        <w:spacing w:after="120"/>
      </w:pPr>
      <w:r>
        <w:t xml:space="preserve">Next summer, the library could run a dedicated sign-up push in Shubra before the season starts — for example, partnering with a school or community center there to register new members on-site — rather than relying on the same outreach that already works for the other four neighborhoods. Since engagement is clearly strong among existing Shubra members, the goal isn’t to change how the program serves them; it’s to reach more of them in the first place.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2026-08-23T09:21:53.397Z</dcterms:created>
  <dcterms:modified xsi:type="dcterms:W3CDTF">2026-08-23T09:21:53.398Z</dcterms:modified>
</cp:coreProperties>
</file>

<file path=docProps/custom.xml><?xml version="1.0" encoding="utf-8"?>
<Properties xmlns="http://schemas.openxmlformats.org/officeDocument/2006/custom-properties" xmlns:vt="http://schemas.openxmlformats.org/officeDocument/2006/docPropsVTypes"/>
</file>