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Data Integrity Report</w:t>
      </w:r>
    </w:p>
    <w:p>
      <w:pPr>
        <w:spacing w:after="120"/>
      </w:pPr>
      <w:r>
        <w:rPr>
          <w:i/>
          <w:iCs/>
          <w:color w:val="555555"/>
        </w:rPr>
        <w:t xml:space="preserve">City Library After-School Program — Task 2: Data Integrity Review</w:t>
      </w:r>
    </w:p>
    <w:p>
      <w:pPr>
        <w:spacing w:after="120"/>
      </w:pPr>
      <w:r>
        <w:rPr>
          <w:i/>
          <w:iCs/>
          <w:color w:val="555555"/>
        </w:rPr>
        <w:t xml:space="preserve">Source file: task1_combined_data.csv (425 records)   |   Output file: task2_cleaned_data.csv (411 records)</w:t>
      </w:r>
    </w:p>
    <w:p>
      <w:pPr>
        <w:pStyle w:val="Heading1"/>
        <w:spacing w:after="150" w:before="300"/>
      </w:pPr>
      <w:r>
        <w:t xml:space="preserve">Overview</w:t>
      </w:r>
    </w:p>
    <w:p>
      <w:pPr>
        <w:spacing w:after="120"/>
      </w:pPr>
      <w:r>
        <w:t xml:space="preserve">The combined dataset produced in Task 1 (members, checkouts, book catalog, and Reading Kickoff sign-ups merged together) was reviewed column by column and record by record before being handed off for analysis. Four distinct quality problems were found: gaps in several columns, a set of exactly repeated checkout records, inconsistent spelling/casing in two text columns, and a handful of records that reference member IDs that do not exist in the registered members table. Each is documented below with what was found, where it appeared, how many records were affected, and the decision made to resolve it.</w:t>
      </w:r>
    </w:p>
    <w:p>
      <w:pPr>
        <w:pStyle w:val="Heading1"/>
        <w:spacing w:after="150" w:before="300"/>
      </w:pPr>
      <w:r>
        <w:t xml:space="preserve">Problem 1 — Missing Values</w:t>
      </w:r>
    </w:p>
    <w:p>
      <w:pPr>
        <w:spacing w:after="120"/>
      </w:pPr>
      <w:r>
        <w:t xml:space="preserve">Every column with gaps was evaluated on its own. Numeric columns were checked for outliers first, then filled with the mean or median of the remaining values; text columns were filled with the most common value (the mode); and date columns were forward-filled only where a gap genuinely meant "never recorded" rather than something else. One row and one column type were excluded from filling entirely, for reasons explained below.</w:t>
      </w:r>
    </w:p>
    <w:p>
      <w:pPr>
        <w:pStyle w:val="Heading2"/>
        <w:spacing w:after="120" w:before="240"/>
      </w:pPr>
      <w:r>
        <w:t xml:space="preserve">What was found, column by column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600"/>
        <w:gridCol w:w="2900"/>
      </w:tblGrid>
      <w:tr>
        <w:tc>
          <w:tcPr>
            <w:tcW w:type="dxa" w:w="2300"/>
            <w:shd w:fill="00095A" w:color="auto" w:val="clear"/>
            <w:tcMar>
              <w:top w:type="dxa" w:w="80"/>
              <w:left w:type="dxa" w:w="120"/>
              <w:bottom w:type="dxa" w:w="80"/>
              <w:right w:type="dxa" w:w="120"/>
            </w:tcMar>
          </w:tcPr>
          <w:p>
            <w:r>
              <w:rPr>
                <w:b/>
                <w:bCs/>
                <w:color w:val="FFFFFF"/>
              </w:rPr>
              <w:t xml:space="preserve">Column</w:t>
            </w:r>
          </w:p>
        </w:tc>
        <w:tc>
          <w:tcPr>
            <w:tcW w:type="dxa" w:w="1900"/>
            <w:shd w:fill="00095A" w:color="auto" w:val="clear"/>
            <w:tcMar>
              <w:top w:type="dxa" w:w="80"/>
              <w:left w:type="dxa" w:w="120"/>
              <w:bottom w:type="dxa" w:w="80"/>
              <w:right w:type="dxa" w:w="120"/>
            </w:tcMar>
          </w:tcPr>
          <w:p>
            <w:r>
              <w:rPr>
                <w:b/>
                <w:bCs/>
                <w:color w:val="FFFFFF"/>
              </w:rPr>
              <w:t xml:space="preserve">Missing (of 411, after dedup/orphan removal)</w:t>
            </w:r>
          </w:p>
        </w:tc>
        <w:tc>
          <w:tcPr>
            <w:tcW w:type="dxa" w:w="2600"/>
            <w:shd w:fill="00095A" w:color="auto" w:val="clear"/>
            <w:tcMar>
              <w:top w:type="dxa" w:w="80"/>
              <w:left w:type="dxa" w:w="120"/>
              <w:bottom w:type="dxa" w:w="80"/>
              <w:right w:type="dxa" w:w="120"/>
            </w:tcMar>
          </w:tcPr>
          <w:p>
            <w:r>
              <w:rPr>
                <w:b/>
                <w:bCs/>
                <w:color w:val="FFFFFF"/>
              </w:rPr>
              <w:t xml:space="preserve">Method used</w:t>
            </w:r>
          </w:p>
        </w:tc>
        <w:tc>
          <w:tcPr>
            <w:tcW w:type="dxa" w:w="2900"/>
            <w:shd w:fill="00095A" w:color="auto" w:val="clear"/>
            <w:tcMar>
              <w:top w:type="dxa" w:w="80"/>
              <w:left w:type="dxa" w:w="120"/>
              <w:bottom w:type="dxa" w:w="80"/>
              <w:right w:type="dxa" w:w="120"/>
            </w:tcMar>
          </w:tcPr>
          <w:p>
            <w:r>
              <w:rPr>
                <w:b/>
                <w:bCs/>
                <w:color w:val="FFFFFF"/>
              </w:rPr>
              <w:t xml:space="preserve">Fill value / decision</w:t>
            </w:r>
          </w:p>
        </w:tc>
      </w:tr>
      <w:tr>
        <w:tc>
          <w:tcPr>
            <w:tcW w:type="dxa" w:w="2300"/>
            <w:tcMar>
              <w:top w:type="dxa" w:w="80"/>
              <w:left w:type="dxa" w:w="120"/>
              <w:bottom w:type="dxa" w:w="80"/>
              <w:right w:type="dxa" w:w="120"/>
            </w:tcMar>
          </w:tcPr>
          <w:p>
            <w:r>
              <w:t xml:space="preserve">grade</w:t>
            </w:r>
          </w:p>
        </w:tc>
        <w:tc>
          <w:tcPr>
            <w:tcW w:type="dxa" w:w="1900"/>
            <w:tcMar>
              <w:top w:type="dxa" w:w="80"/>
              <w:left w:type="dxa" w:w="120"/>
              <w:bottom w:type="dxa" w:w="80"/>
              <w:right w:type="dxa" w:w="120"/>
            </w:tcMar>
          </w:tcPr>
          <w:p>
            <w:r>
              <w:t xml:space="preserve">38</w:t>
            </w:r>
          </w:p>
        </w:tc>
        <w:tc>
          <w:tcPr>
            <w:tcW w:type="dxa" w:w="2600"/>
            <w:tcMar>
              <w:top w:type="dxa" w:w="80"/>
              <w:left w:type="dxa" w:w="120"/>
              <w:bottom w:type="dxa" w:w="80"/>
              <w:right w:type="dxa" w:w="120"/>
            </w:tcMar>
          </w:tcPr>
          <w:p>
            <w:r>
              <w:t xml:space="preserve">Outliers checked (IQR) — none found. Filled with median.</w:t>
            </w:r>
          </w:p>
        </w:tc>
        <w:tc>
          <w:tcPr>
            <w:tcW w:type="dxa" w:w="2900"/>
            <w:tcMar>
              <w:top w:type="dxa" w:w="80"/>
              <w:left w:type="dxa" w:w="120"/>
              <w:bottom w:type="dxa" w:w="80"/>
              <w:right w:type="dxa" w:w="120"/>
            </w:tcMar>
          </w:tcPr>
          <w:p>
            <w:r>
              <w:t xml:space="preserve">Median = 8.0 (grade is a whole level, so the median avoids a fractional result like 7.6)</w:t>
            </w:r>
          </w:p>
        </w:tc>
      </w:tr>
      <w:tr>
        <w:tc>
          <w:tcPr>
            <w:tcW w:type="dxa" w:w="2300"/>
            <w:tcMar>
              <w:top w:type="dxa" w:w="80"/>
              <w:left w:type="dxa" w:w="120"/>
              <w:bottom w:type="dxa" w:w="80"/>
              <w:right w:type="dxa" w:w="120"/>
            </w:tcMar>
          </w:tcPr>
          <w:p>
            <w:r>
              <w:t xml:space="preserve">pages</w:t>
            </w:r>
          </w:p>
        </w:tc>
        <w:tc>
          <w:tcPr>
            <w:tcW w:type="dxa" w:w="1900"/>
            <w:tcMar>
              <w:top w:type="dxa" w:w="80"/>
              <w:left w:type="dxa" w:w="120"/>
              <w:bottom w:type="dxa" w:w="80"/>
              <w:right w:type="dxa" w:w="120"/>
            </w:tcMar>
          </w:tcPr>
          <w:p>
            <w:r>
              <w:t xml:space="preserve">18</w:t>
            </w:r>
          </w:p>
        </w:tc>
        <w:tc>
          <w:tcPr>
            <w:tcW w:type="dxa" w:w="2600"/>
            <w:tcMar>
              <w:top w:type="dxa" w:w="80"/>
              <w:left w:type="dxa" w:w="120"/>
              <w:bottom w:type="dxa" w:w="80"/>
              <w:right w:type="dxa" w:w="120"/>
            </w:tcMar>
          </w:tcPr>
          <w:p>
            <w:r>
              <w:t xml:space="preserve">Outliers checked (IQR) — none found. Filled with mean.</w:t>
            </w:r>
          </w:p>
        </w:tc>
        <w:tc>
          <w:tcPr>
            <w:tcW w:type="dxa" w:w="2900"/>
            <w:tcMar>
              <w:top w:type="dxa" w:w="80"/>
              <w:left w:type="dxa" w:w="120"/>
              <w:bottom w:type="dxa" w:w="80"/>
              <w:right w:type="dxa" w:w="120"/>
            </w:tcMar>
          </w:tcPr>
          <w:p>
            <w:r>
              <w:t xml:space="preserve">Mean = 201.1 pages (a continuous measurement, so the mean is appropriate)</w:t>
            </w:r>
          </w:p>
        </w:tc>
      </w:tr>
      <w:tr>
        <w:tc>
          <w:tcPr>
            <w:tcW w:type="dxa" w:w="2300"/>
            <w:tcMar>
              <w:top w:type="dxa" w:w="80"/>
              <w:left w:type="dxa" w:w="120"/>
              <w:bottom w:type="dxa" w:w="80"/>
              <w:right w:type="dxa" w:w="120"/>
            </w:tcMar>
          </w:tcPr>
          <w:p>
            <w:r>
              <w:t xml:space="preserve">publication_year</w:t>
            </w:r>
          </w:p>
        </w:tc>
        <w:tc>
          <w:tcPr>
            <w:tcW w:type="dxa" w:w="1900"/>
            <w:tcMar>
              <w:top w:type="dxa" w:w="80"/>
              <w:left w:type="dxa" w:w="120"/>
              <w:bottom w:type="dxa" w:w="80"/>
              <w:right w:type="dxa" w:w="120"/>
            </w:tcMar>
          </w:tcPr>
          <w:p>
            <w:r>
              <w:t xml:space="preserve">51</w:t>
            </w:r>
          </w:p>
        </w:tc>
        <w:tc>
          <w:tcPr>
            <w:tcW w:type="dxa" w:w="2600"/>
            <w:tcMar>
              <w:top w:type="dxa" w:w="80"/>
              <w:left w:type="dxa" w:w="120"/>
              <w:bottom w:type="dxa" w:w="80"/>
              <w:right w:type="dxa" w:w="120"/>
            </w:tcMar>
          </w:tcPr>
          <w:p>
            <w:r>
              <w:t xml:space="preserve">Outliers checked (IQR) — none found. Filled with median.</w:t>
            </w:r>
          </w:p>
        </w:tc>
        <w:tc>
          <w:tcPr>
            <w:tcW w:type="dxa" w:w="2900"/>
            <w:tcMar>
              <w:top w:type="dxa" w:w="80"/>
              <w:left w:type="dxa" w:w="120"/>
              <w:bottom w:type="dxa" w:w="80"/>
              <w:right w:type="dxa" w:w="120"/>
            </w:tcMar>
          </w:tcPr>
          <w:p>
            <w:r>
              <w:t xml:space="preserve">Median = 2017 (kept as a whole year, not a fractional average)</w:t>
            </w:r>
          </w:p>
        </w:tc>
      </w:tr>
      <w:tr>
        <w:tc>
          <w:tcPr>
            <w:tcW w:type="dxa" w:w="2300"/>
            <w:tcMar>
              <w:top w:type="dxa" w:w="80"/>
              <w:left w:type="dxa" w:w="120"/>
              <w:bottom w:type="dxa" w:w="80"/>
              <w:right w:type="dxa" w:w="120"/>
            </w:tcMar>
          </w:tcPr>
          <w:p>
            <w:r>
              <w:t xml:space="preserve">genre</w:t>
            </w:r>
          </w:p>
        </w:tc>
        <w:tc>
          <w:tcPr>
            <w:tcW w:type="dxa" w:w="1900"/>
            <w:tcMar>
              <w:top w:type="dxa" w:w="80"/>
              <w:left w:type="dxa" w:w="120"/>
              <w:bottom w:type="dxa" w:w="80"/>
              <w:right w:type="dxa" w:w="120"/>
            </w:tcMar>
          </w:tcPr>
          <w:p>
            <w:r>
              <w:t xml:space="preserve">18</w:t>
            </w:r>
          </w:p>
        </w:tc>
        <w:tc>
          <w:tcPr>
            <w:tcW w:type="dxa" w:w="2600"/>
            <w:tcMar>
              <w:top w:type="dxa" w:w="80"/>
              <w:left w:type="dxa" w:w="120"/>
              <w:bottom w:type="dxa" w:w="80"/>
              <w:right w:type="dxa" w:w="120"/>
            </w:tcMar>
          </w:tcPr>
          <w:p>
            <w:r>
              <w:t xml:space="preserve">Filled with mode</w:t>
            </w:r>
          </w:p>
        </w:tc>
        <w:tc>
          <w:tcPr>
            <w:tcW w:type="dxa" w:w="2900"/>
            <w:tcMar>
              <w:top w:type="dxa" w:w="80"/>
              <w:left w:type="dxa" w:w="120"/>
              <w:bottom w:type="dxa" w:w="80"/>
              <w:right w:type="dxa" w:w="120"/>
            </w:tcMar>
          </w:tcPr>
          <w:p>
            <w:r>
              <w:t xml:space="preserve">"Science" — the most common genre in the dataset</w:t>
            </w:r>
          </w:p>
        </w:tc>
      </w:tr>
      <w:tr>
        <w:tc>
          <w:tcPr>
            <w:tcW w:type="dxa" w:w="2300"/>
            <w:tcMar>
              <w:top w:type="dxa" w:w="80"/>
              <w:left w:type="dxa" w:w="120"/>
              <w:bottom w:type="dxa" w:w="80"/>
              <w:right w:type="dxa" w:w="120"/>
            </w:tcMar>
          </w:tcPr>
          <w:p>
            <w:r>
              <w:t xml:space="preserve">publisher</w:t>
            </w:r>
          </w:p>
        </w:tc>
        <w:tc>
          <w:tcPr>
            <w:tcW w:type="dxa" w:w="1900"/>
            <w:tcMar>
              <w:top w:type="dxa" w:w="80"/>
              <w:left w:type="dxa" w:w="120"/>
              <w:bottom w:type="dxa" w:w="80"/>
              <w:right w:type="dxa" w:w="120"/>
            </w:tcMar>
          </w:tcPr>
          <w:p>
            <w:r>
              <w:t xml:space="preserve">18</w:t>
            </w:r>
          </w:p>
        </w:tc>
        <w:tc>
          <w:tcPr>
            <w:tcW w:type="dxa" w:w="2600"/>
            <w:tcMar>
              <w:top w:type="dxa" w:w="80"/>
              <w:left w:type="dxa" w:w="120"/>
              <w:bottom w:type="dxa" w:w="80"/>
              <w:right w:type="dxa" w:w="120"/>
            </w:tcMar>
          </w:tcPr>
          <w:p>
            <w:r>
              <w:t xml:space="preserve">Filled with mode</w:t>
            </w:r>
          </w:p>
        </w:tc>
        <w:tc>
          <w:tcPr>
            <w:tcW w:type="dxa" w:w="2900"/>
            <w:tcMar>
              <w:top w:type="dxa" w:w="80"/>
              <w:left w:type="dxa" w:w="120"/>
              <w:bottom w:type="dxa" w:w="80"/>
              <w:right w:type="dxa" w:w="120"/>
            </w:tcMar>
          </w:tcPr>
          <w:p>
            <w:r>
              <w:t xml:space="preserve">"Nile Press" — the most common publisher in the dataset</w:t>
            </w:r>
          </w:p>
        </w:tc>
      </w:tr>
      <w:tr>
        <w:tc>
          <w:tcPr>
            <w:tcW w:type="dxa" w:w="2300"/>
            <w:tcMar>
              <w:top w:type="dxa" w:w="80"/>
              <w:left w:type="dxa" w:w="120"/>
              <w:bottom w:type="dxa" w:w="80"/>
              <w:right w:type="dxa" w:w="120"/>
            </w:tcMar>
          </w:tcPr>
          <w:p>
            <w:r>
              <w:t xml:space="preserve">join_date</w:t>
            </w:r>
          </w:p>
        </w:tc>
        <w:tc>
          <w:tcPr>
            <w:tcW w:type="dxa" w:w="1900"/>
            <w:tcMar>
              <w:top w:type="dxa" w:w="80"/>
              <w:left w:type="dxa" w:w="120"/>
              <w:bottom w:type="dxa" w:w="80"/>
              <w:right w:type="dxa" w:w="120"/>
            </w:tcMar>
          </w:tcPr>
          <w:p>
            <w:r>
              <w:t xml:space="preserve">6</w:t>
            </w:r>
          </w:p>
        </w:tc>
        <w:tc>
          <w:tcPr>
            <w:tcW w:type="dxa" w:w="2600"/>
            <w:tcMar>
              <w:top w:type="dxa" w:w="80"/>
              <w:left w:type="dxa" w:w="120"/>
              <w:bottom w:type="dxa" w:w="80"/>
              <w:right w:type="dxa" w:w="120"/>
            </w:tcMar>
          </w:tcPr>
          <w:p>
            <w:r>
              <w:t xml:space="preserve">Forward-filled (ffill), sorted by member_id first</w:t>
            </w:r>
          </w:p>
        </w:tc>
        <w:tc>
          <w:tcPr>
            <w:tcW w:type="dxa" w:w="2900"/>
            <w:tcMar>
              <w:top w:type="dxa" w:w="80"/>
              <w:left w:type="dxa" w:w="120"/>
              <w:bottom w:type="dxa" w:w="80"/>
              <w:right w:type="dxa" w:w="120"/>
            </w:tcMar>
          </w:tcPr>
          <w:p>
            <w:r>
              <w:t xml:space="preserve">Carries the join_date of the previous member_id in ID order</w:t>
            </w:r>
          </w:p>
        </w:tc>
      </w:tr>
      <w:tr>
        <w:tc>
          <w:tcPr>
            <w:tcW w:type="dxa" w:w="2300"/>
            <w:tcMar>
              <w:top w:type="dxa" w:w="80"/>
              <w:left w:type="dxa" w:w="120"/>
              <w:bottom w:type="dxa" w:w="80"/>
              <w:right w:type="dxa" w:w="120"/>
            </w:tcMar>
          </w:tcPr>
          <w:p>
            <w:r>
              <w:t xml:space="preserve">return_date / checkout_date / checkout_id / book_id</w:t>
            </w:r>
          </w:p>
        </w:tc>
        <w:tc>
          <w:tcPr>
            <w:tcW w:type="dxa" w:w="1900"/>
            <w:tcMar>
              <w:top w:type="dxa" w:w="80"/>
              <w:left w:type="dxa" w:w="120"/>
              <w:bottom w:type="dxa" w:w="80"/>
              <w:right w:type="dxa" w:w="120"/>
            </w:tcMar>
          </w:tcPr>
          <w:p>
            <w:r>
              <w:t xml:space="preserve">18–85 each</w:t>
            </w:r>
          </w:p>
        </w:tc>
        <w:tc>
          <w:tcPr>
            <w:tcW w:type="dxa" w:w="2600"/>
            <w:tcMar>
              <w:top w:type="dxa" w:w="80"/>
              <w:left w:type="dxa" w:w="120"/>
              <w:bottom w:type="dxa" w:w="80"/>
              <w:right w:type="dxa" w:w="120"/>
            </w:tcMar>
          </w:tcPr>
          <w:p>
            <w:r>
              <w:t xml:space="preserve">Left blank — see reasoning below</w:t>
            </w:r>
          </w:p>
        </w:tc>
        <w:tc>
          <w:tcPr>
            <w:tcW w:type="dxa" w:w="2900"/>
            <w:tcMar>
              <w:top w:type="dxa" w:w="80"/>
              <w:left w:type="dxa" w:w="120"/>
              <w:bottom w:type="dxa" w:w="80"/>
              <w:right w:type="dxa" w:w="120"/>
            </w:tcMar>
          </w:tcPr>
          <w:p>
            <w:r>
              <w:t xml:space="preserve">Not filled: the blank is meaningful, not missing</w:t>
            </w:r>
          </w:p>
        </w:tc>
      </w:tr>
      <w:tr>
        <w:tc>
          <w:tcPr>
            <w:tcW w:type="dxa" w:w="2300"/>
            <w:tcMar>
              <w:top w:type="dxa" w:w="80"/>
              <w:left w:type="dxa" w:w="120"/>
              <w:bottom w:type="dxa" w:w="80"/>
              <w:right w:type="dxa" w:w="120"/>
            </w:tcMar>
          </w:tcPr>
          <w:p>
            <w:r>
              <w:t xml:space="preserve">kickoff_book_id / kickoff_checkout_date</w:t>
            </w:r>
          </w:p>
        </w:tc>
        <w:tc>
          <w:tcPr>
            <w:tcW w:type="dxa" w:w="1900"/>
            <w:tcMar>
              <w:top w:type="dxa" w:w="80"/>
              <w:left w:type="dxa" w:w="120"/>
              <w:bottom w:type="dxa" w:w="80"/>
              <w:right w:type="dxa" w:w="120"/>
            </w:tcMar>
          </w:tcPr>
          <w:p>
            <w:r>
              <w:t xml:space="preserve">329</w:t>
            </w:r>
          </w:p>
        </w:tc>
        <w:tc>
          <w:tcPr>
            <w:tcW w:type="dxa" w:w="2600"/>
            <w:tcMar>
              <w:top w:type="dxa" w:w="80"/>
              <w:left w:type="dxa" w:w="120"/>
              <w:bottom w:type="dxa" w:w="80"/>
              <w:right w:type="dxa" w:w="120"/>
            </w:tcMar>
          </w:tcPr>
          <w:p>
            <w:r>
              <w:t xml:space="preserve">Left blank — see reasoning below</w:t>
            </w:r>
          </w:p>
        </w:tc>
        <w:tc>
          <w:tcPr>
            <w:tcW w:type="dxa" w:w="2900"/>
            <w:tcMar>
              <w:top w:type="dxa" w:w="80"/>
              <w:left w:type="dxa" w:w="120"/>
              <w:bottom w:type="dxa" w:w="80"/>
              <w:right w:type="dxa" w:w="120"/>
            </w:tcMar>
          </w:tcPr>
          <w:p>
            <w:r>
              <w:t xml:space="preserve">Not filled: the blank is meaningful, not missing</w:t>
            </w:r>
          </w:p>
        </w:tc>
      </w:tr>
      <w:tr>
        <w:tc>
          <w:tcPr>
            <w:tcW w:type="dxa" w:w="2300"/>
            <w:tcMar>
              <w:top w:type="dxa" w:w="80"/>
              <w:left w:type="dxa" w:w="120"/>
              <w:bottom w:type="dxa" w:w="80"/>
              <w:right w:type="dxa" w:w="120"/>
            </w:tcMar>
          </w:tcPr>
          <w:p>
            <w:r>
              <w:t xml:space="preserve">member_id</w:t>
            </w:r>
          </w:p>
        </w:tc>
        <w:tc>
          <w:tcPr>
            <w:tcW w:type="dxa" w:w="1900"/>
            <w:tcMar>
              <w:top w:type="dxa" w:w="80"/>
              <w:left w:type="dxa" w:w="120"/>
              <w:bottom w:type="dxa" w:w="80"/>
              <w:right w:type="dxa" w:w="120"/>
            </w:tcMar>
          </w:tcPr>
          <w:p>
            <w:r>
              <w:t xml:space="preserve">1</w:t>
            </w:r>
          </w:p>
        </w:tc>
        <w:tc>
          <w:tcPr>
            <w:tcW w:type="dxa" w:w="2600"/>
            <w:tcMar>
              <w:top w:type="dxa" w:w="80"/>
              <w:left w:type="dxa" w:w="120"/>
              <w:bottom w:type="dxa" w:w="80"/>
              <w:right w:type="dxa" w:w="120"/>
            </w:tcMar>
          </w:tcPr>
          <w:p>
            <w:r>
              <w:t xml:space="preserve">Row dropped, not filled</w:t>
            </w:r>
          </w:p>
        </w:tc>
        <w:tc>
          <w:tcPr>
            <w:tcW w:type="dxa" w:w="2900"/>
            <w:tcMar>
              <w:top w:type="dxa" w:w="80"/>
              <w:left w:type="dxa" w:w="120"/>
              <w:bottom w:type="dxa" w:w="80"/>
              <w:right w:type="dxa" w:w="120"/>
            </w:tcMar>
          </w:tcPr>
          <w:p>
            <w:r>
              <w:t xml:space="preserve">An identifier can’t be averaged or guessed; the row has no member or checkout information at all</w:t>
            </w:r>
          </w:p>
        </w:tc>
      </w:tr>
    </w:tbl>
    <w:p>
      <w:pPr>
        <w:spacing w:after="150"/>
      </w:pPr>
    </w:p>
    <w:p>
      <w:pPr>
        <w:pStyle w:val="Heading2"/>
        <w:spacing w:after="120" w:before="240"/>
      </w:pPr>
      <w:r>
        <w:t xml:space="preserve">Why the outlier check found nothing to remove</w:t>
      </w:r>
    </w:p>
    <w:p>
      <w:pPr>
        <w:spacing w:after="120"/>
      </w:pPr>
      <w:r>
        <w:t xml:space="preserve">grade, pages, and publication_year were each checked with the IQR method (values outside [Q1 − 1.5×IQR, Q3 + 1.5×IQR] would have been removed before computing the mean/median). No values fell outside those bounds in any of the three columns, so the mean/median for each was computed on the full set of non-missing values, with nothing excluded.</w:t>
      </w:r>
    </w:p>
    <w:p>
      <w:pPr>
        <w:pStyle w:val="Heading2"/>
        <w:spacing w:after="120" w:before="240"/>
      </w:pPr>
      <w:r>
        <w:t xml:space="preserve">Why four column groups were deliberately left blank</w:t>
      </w:r>
    </w:p>
    <w:p>
      <w:pPr>
        <w:spacing w:after="120"/>
      </w:pPr>
      <w:r>
        <w:t xml:space="preserve">return_date, checkout_date/checkout_id/book_id, and kickoff_book_id/kickoff_checkout_date all failed a simple test before filling was even considered: does the blank mean "unknown," or does it mean something specific on its own? In this dataset it’s the latter in every case — a blank return_date means the book is still checked out, a blank checkout_date means that member has never checked out a book, and a blank kickoff_checkout_date means that member didn’t sign up for the Reading Kickoff. Forward-filling any of these would not fill a gap — it would fabricate an event that didn’t happen (a return that didn’t occur, a checkout that never took place, a Kickoff visit the member never made), and it would do so with an arbitrary date borrowed from an unrelated row above it in the table. That risk is exactly why the fourth-column group’s decision differs from the others: mean/median/mode/ffill were applied everywhere a gap was truly unknown data, and withheld everywhere a gap was already the correct answer.</w:t>
      </w:r>
    </w:p>
    <w:p>
      <w:pPr>
        <w:spacing w:after="120"/>
      </w:pPr>
      <w:r>
        <w:t xml:space="preserve">The one row missing member_id was dropped rather than filled for a related but distinct reason: member_id is an identifier, not a measurement or a category, so there is no mean, median, or mode that means anything for it — and the row it belongs to (a catalog book that was never checked out) carries no other usable information either.</w:t>
      </w:r>
    </w:p>
    <w:p>
      <w:pPr>
        <w:pStyle w:val="Heading1"/>
        <w:spacing w:after="150" w:before="300"/>
      </w:pPr>
      <w:r>
        <w:t xml:space="preserve">Problem 2 — Duplicate Records</w:t>
      </w:r>
    </w:p>
    <w:p>
      <w:pPr>
        <w:spacing w:after="100"/>
      </w:pPr>
      <w:r>
        <w:rPr>
          <w:b/>
          <w:bCs/>
        </w:rPr>
        <w:t xml:space="preserve">What was found: </w:t>
      </w:r>
      <w:r>
        <w:t xml:space="preserve">Eight checkout events were entered twice into the source checkouts table, each appearing as two fully identical rows (same checkout_id, member, book, checkout date, and return date) in the combined dataset.</w:t>
      </w:r>
    </w:p>
    <w:p>
      <w:pPr>
        <w:spacing w:after="100"/>
      </w:pPr>
      <w:r>
        <w:rPr>
          <w:b/>
          <w:bCs/>
        </w:rPr>
        <w:t xml:space="preserve">Where it was: </w:t>
      </w:r>
      <w:r>
        <w:t xml:space="preserve">checkout_id column (and, since the row was copied verbatim, every other column matched too): IDs 9052, 9180, 9193, 9194, 9246, 9280, 9296, and 9334.</w:t>
      </w:r>
    </w:p>
    <w:p>
      <w:pPr>
        <w:spacing w:after="100"/>
      </w:pPr>
      <w:r>
        <w:rPr>
          <w:b/>
          <w:bCs/>
        </w:rPr>
        <w:t xml:space="preserve">How big it was: </w:t>
      </w:r>
      <w:r>
        <w:t xml:space="preserve">16 records affected (8 pairs of identical rows) out of 425.</w:t>
      </w:r>
    </w:p>
    <w:p>
      <w:pPr>
        <w:spacing w:after="120"/>
      </w:pPr>
      <w:r>
        <w:rPr>
          <w:i/>
          <w:iCs/>
        </w:rPr>
        <w:t xml:space="preserve">A separate, similar-looking pattern was checked and deliberately left alone: member 1041 has two checkouts and two Reading Kickoff sign-ups, so the merge produced four rows for that member. These four rows are not duplicates — each pairs a different real checkout with a different real Kickoff visit — so all four were kept.</w:t>
      </w:r>
    </w:p>
    <w:p>
      <w:pPr>
        <w:spacing w:after="100"/>
      </w:pPr>
      <w:r>
        <w:rPr>
          <w:b/>
          <w:bCs/>
        </w:rPr>
        <w:t xml:space="preserve">What was done, and why: </w:t>
      </w:r>
      <w:r>
        <w:t xml:space="preserve">The 8 exact repeats were removed with drop_duplicates(), keeping one copy of each. Every field matched exactly, so these can only be the same checkout event recorded twice — keeping both would have double-counted 8 real loans in any later analysis. Rows that merely resembled each other but described two different checkouts or two different Kickoff visits were left untouched, since removing them would have deleted genuine, distinct events.</w:t>
      </w:r>
    </w:p>
    <w:p>
      <w:pPr>
        <w:pStyle w:val="Heading1"/>
        <w:spacing w:after="150" w:before="300"/>
      </w:pPr>
      <w:r>
        <w:t xml:space="preserve">Problem 3 — Inconsistent Text Values</w:t>
      </w:r>
    </w:p>
    <w:p>
      <w:pPr>
        <w:spacing w:after="120"/>
      </w:pPr>
      <w:r>
        <w:t xml:space="preserve">Two text columns had the same real-world value written in more than one way — differing only in capitalization or stray whitespace, never in the underlying meaning.</w:t>
      </w:r>
    </w:p>
    <w:p>
      <w:pPr>
        <w:pStyle w:val="Heading2"/>
        <w:spacing w:after="120" w:before="240"/>
      </w:pPr>
      <w:r>
        <w:t xml:space="preserve">neighborhood</w:t>
      </w:r>
    </w:p>
    <w:p>
      <w:pPr>
        <w:spacing w:after="100"/>
      </w:pPr>
      <w:r>
        <w:rPr>
          <w:b/>
          <w:bCs/>
        </w:rPr>
        <w:t xml:space="preserve">What was found: </w:t>
      </w:r>
      <w:r>
        <w:t xml:space="preserve">Five real neighborhoods were each written in multiple forms: "Maadi" / "Maadi " (trailing space), "Zamalek" / "zamalek", "Heliopolis" / "HELIOPOLIS", and "Nasr City" / "Nasr  City" (double space) / "NASR CITY".</w:t>
      </w:r>
    </w:p>
    <w:p>
      <w:pPr>
        <w:spacing w:after="100"/>
      </w:pPr>
      <w:r>
        <w:rPr>
          <w:b/>
          <w:bCs/>
        </w:rPr>
        <w:t xml:space="preserve">How big it was: </w:t>
      </w:r>
      <w:r>
        <w:t xml:space="preserve">39 records had a non-standard form (19 "Maadi ", 16 "zamalek", 2 "HELIOPOLIS", 1 "Nasr  City", 1 "NASR CITY") out of 419 records with a neighborhood value.</w:t>
      </w:r>
    </w:p>
    <w:p>
      <w:pPr>
        <w:spacing w:after="100"/>
      </w:pPr>
      <w:r>
        <w:rPr>
          <w:b/>
          <w:bCs/>
        </w:rPr>
        <w:t xml:space="preserve">What was done, and why: </w:t>
      </w:r>
      <w:r>
        <w:t xml:space="preserve">Every value was stripped of leading/trailing spaces, internal double-spaces were collapsed to one, and casing was standardized to title case, giving exactly 5 clean values: Maadi, Zamalek, Heliopolis, Nasr City, Shubra. Title case was chosen because it matched the majority form already in the data, so most records needed no change.</w:t>
      </w:r>
    </w:p>
    <w:p>
      <w:pPr>
        <w:pStyle w:val="Heading2"/>
        <w:spacing w:after="120" w:before="240"/>
      </w:pPr>
      <w:r>
        <w:t xml:space="preserve">membership_status</w:t>
      </w:r>
    </w:p>
    <w:p>
      <w:pPr>
        <w:spacing w:after="100"/>
      </w:pPr>
      <w:r>
        <w:rPr>
          <w:b/>
          <w:bCs/>
        </w:rPr>
        <w:t xml:space="preserve">What was found: </w:t>
      </w:r>
      <w:r>
        <w:t xml:space="preserve">The same two statuses were written in different cases: "Active"/"active" and "Inactive"/"inactive"/"INACTIVE".</w:t>
      </w:r>
    </w:p>
    <w:p>
      <w:pPr>
        <w:spacing w:after="100"/>
      </w:pPr>
      <w:r>
        <w:rPr>
          <w:b/>
          <w:bCs/>
        </w:rPr>
        <w:t xml:space="preserve">How big it was: </w:t>
      </w:r>
      <w:r>
        <w:t xml:space="preserve">79 records had a non-standard case (46 "active", 32 "inactive", 1 "INACTIVE") out of 419 records with a status value.</w:t>
      </w:r>
    </w:p>
    <w:p>
      <w:pPr>
        <w:spacing w:after="100"/>
      </w:pPr>
      <w:r>
        <w:rPr>
          <w:b/>
          <w:bCs/>
        </w:rPr>
        <w:t xml:space="preserve">What was done, and why: </w:t>
      </w:r>
      <w:r>
        <w:t xml:space="preserve">All values were standardized to title case — Active / Inactive — for the same reason as neighborhood: two genuinely distinct statuses, written inconsistently, unified without collapsing the two categories into each other.</w:t>
      </w:r>
    </w:p>
    <w:p>
      <w:pPr>
        <w:pStyle w:val="Heading2"/>
        <w:spacing w:after="120" w:before="240"/>
      </w:pPr>
      <w:r>
        <w:t xml:space="preserve">Columns checked but left unchanged</w:t>
      </w:r>
    </w:p>
    <w:p>
      <w:pPr>
        <w:spacing w:after="120"/>
      </w:pPr>
      <w:r>
        <w:t xml:space="preserve">genre and publisher were also inspected for spelling/casing drift and found to already be consistent. In particular, "Science" and "Science Fiction" are two different, real genres in this catalog and were kept separate rather than merged, per the caution against collapsing distinct values that merely look similar.</w:t>
      </w:r>
    </w:p>
    <w:p>
      <w:pPr>
        <w:pStyle w:val="Heading1"/>
        <w:spacing w:after="150" w:before="300"/>
      </w:pPr>
      <w:r>
        <w:t xml:space="preserve">Problem 4 — member_id Values Not in the Registered Members Table</w:t>
      </w:r>
    </w:p>
    <w:p>
      <w:pPr>
        <w:spacing w:after="100"/>
      </w:pPr>
      <w:r>
        <w:rPr>
          <w:b/>
          <w:bCs/>
        </w:rPr>
        <w:t xml:space="preserve">What was found: </w:t>
      </w:r>
      <w:r>
        <w:t xml:space="preserve">Five checkout-like records reference a member_id that does not exist anywhere in the registered members table. All five come from the Reading Kickoff sign-up sheet, where desk volunteers record checkouts by hand without verifying the member against the library system.</w:t>
      </w:r>
    </w:p>
    <w:p>
      <w:pPr>
        <w:spacing w:after="100"/>
      </w:pPr>
      <w:r>
        <w:rPr>
          <w:b/>
          <w:bCs/>
        </w:rPr>
        <w:t xml:space="preserve">Where it was: </w:t>
      </w:r>
      <w:r>
        <w:t xml:space="preserve">member_id column, values 1104, 1150, and 1201 — none of which appear among the 80 registered member IDs (1001–1080).</w:t>
      </w:r>
    </w:p>
    <w:p>
      <w:pPr>
        <w:spacing w:after="100"/>
      </w:pPr>
      <w:r>
        <w:rPr>
          <w:b/>
          <w:bCs/>
        </w:rPr>
        <w:t xml:space="preserve">How big it was: </w:t>
      </w:r>
      <w:r>
        <w:t xml:space="preserve">5 records out of 425 (1104 appears twice, 1150 once, 1201 twice).</w:t>
      </w:r>
    </w:p>
    <w:p>
      <w:pPr>
        <w:spacing w:after="100"/>
      </w:pPr>
      <w:r>
        <w:rPr>
          <w:b/>
          <w:bCs/>
        </w:rPr>
        <w:t xml:space="preserve">What was done, and why: </w:t>
      </w:r>
      <w:r>
        <w:t xml:space="preserve">All 5 records were removed from the combined dataset, and the registered members table itself was left completely untouched. Because these IDs don’t match any real member, there is no name, neighborhood, membership status, or grade to attach to them — they can’t be validated, and keeping them would let unverifiable walk-in entries sit next to verified member records without any way to tell them apart in later analysis. Removing the records (rather than inventing a placeholder member or guessing which real member was meant) is the more defensible choice: it does not fabricate data, and it keeps every remaining record traceable to an actual, registered member.</w:t>
      </w:r>
    </w:p>
    <w:p>
      <w:pPr>
        <w:pStyle w:val="Heading1"/>
        <w:spacing w:after="150" w:before="300"/>
      </w:pPr>
      <w:r>
        <w:t xml:space="preserve">Summary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00"/>
      </w:tblGrid>
      <w:tr>
        <w:tc>
          <w:tcPr>
            <w:tcW w:type="dxa" w:w="2600"/>
            <w:shd w:fill="00095A" w:color="auto" w:val="clear"/>
            <w:tcMar>
              <w:top w:type="dxa" w:w="80"/>
              <w:left w:type="dxa" w:w="120"/>
              <w:bottom w:type="dxa" w:w="80"/>
              <w:right w:type="dxa" w:w="120"/>
            </w:tcMar>
          </w:tcPr>
          <w:p>
            <w:r>
              <w:rPr>
                <w:b/>
                <w:bCs/>
                <w:color w:val="FFFFFF"/>
              </w:rPr>
              <w:t xml:space="preserve">Problem</w:t>
            </w:r>
          </w:p>
        </w:tc>
        <w:tc>
          <w:tcPr>
            <w:tcW w:type="dxa" w:w="3600"/>
            <w:shd w:fill="00095A" w:color="auto" w:val="clear"/>
            <w:tcMar>
              <w:top w:type="dxa" w:w="80"/>
              <w:left w:type="dxa" w:w="120"/>
              <w:bottom w:type="dxa" w:w="80"/>
              <w:right w:type="dxa" w:w="120"/>
            </w:tcMar>
          </w:tcPr>
          <w:p>
            <w:r>
              <w:rPr>
                <w:b/>
                <w:bCs/>
                <w:color w:val="FFFFFF"/>
              </w:rPr>
              <w:t xml:space="preserve">Records affected</w:t>
            </w:r>
          </w:p>
        </w:tc>
        <w:tc>
          <w:tcPr>
            <w:tcW w:type="dxa" w:w="3500"/>
            <w:shd w:fill="00095A" w:color="auto" w:val="clear"/>
            <w:tcMar>
              <w:top w:type="dxa" w:w="80"/>
              <w:left w:type="dxa" w:w="120"/>
              <w:bottom w:type="dxa" w:w="80"/>
              <w:right w:type="dxa" w:w="120"/>
            </w:tcMar>
          </w:tcPr>
          <w:p>
            <w:r>
              <w:rPr>
                <w:b/>
                <w:bCs/>
                <w:color w:val="FFFFFF"/>
              </w:rPr>
              <w:t xml:space="preserve">Action taken</w:t>
            </w:r>
          </w:p>
        </w:tc>
      </w:tr>
      <w:tr>
        <w:tc>
          <w:tcPr>
            <w:tcW w:type="dxa" w:w="2600"/>
            <w:tcMar>
              <w:top w:type="dxa" w:w="80"/>
              <w:left w:type="dxa" w:w="120"/>
              <w:bottom w:type="dxa" w:w="80"/>
              <w:right w:type="dxa" w:w="120"/>
            </w:tcMar>
          </w:tcPr>
          <w:p>
            <w:r>
              <w:t xml:space="preserve">1. Missing values</w:t>
            </w:r>
          </w:p>
        </w:tc>
        <w:tc>
          <w:tcPr>
            <w:tcW w:type="dxa" w:w="3600"/>
            <w:tcMar>
              <w:top w:type="dxa" w:w="80"/>
              <w:left w:type="dxa" w:w="120"/>
              <w:bottom w:type="dxa" w:w="80"/>
              <w:right w:type="dxa" w:w="120"/>
            </w:tcMar>
          </w:tcPr>
          <w:p>
            <w:r>
              <w:t xml:space="preserve">1 record dropped; 149 values filled (grade/pages/publication_year/genre/publisher/join_date); 797 blanks kept as meaningful</w:t>
            </w:r>
          </w:p>
        </w:tc>
        <w:tc>
          <w:tcPr>
            <w:tcW w:type="dxa" w:w="3500"/>
            <w:tcMar>
              <w:top w:type="dxa" w:w="80"/>
              <w:left w:type="dxa" w:w="120"/>
              <w:bottom w:type="dxa" w:w="80"/>
              <w:right w:type="dxa" w:w="120"/>
            </w:tcMar>
          </w:tcPr>
          <w:p>
            <w:r>
              <w:t xml:space="preserve">Mean/median (numeric, after IQR outlier check) or mode (text) where the gap was truly unknown; left blank where the gap itself was the answer</w:t>
            </w:r>
          </w:p>
        </w:tc>
      </w:tr>
      <w:tr>
        <w:tc>
          <w:tcPr>
            <w:tcW w:type="dxa" w:w="2600"/>
            <w:tcMar>
              <w:top w:type="dxa" w:w="80"/>
              <w:left w:type="dxa" w:w="120"/>
              <w:bottom w:type="dxa" w:w="80"/>
              <w:right w:type="dxa" w:w="120"/>
            </w:tcMar>
          </w:tcPr>
          <w:p>
            <w:r>
              <w:t xml:space="preserve">2. Duplicate records</w:t>
            </w:r>
          </w:p>
        </w:tc>
        <w:tc>
          <w:tcPr>
            <w:tcW w:type="dxa" w:w="3600"/>
            <w:tcMar>
              <w:top w:type="dxa" w:w="80"/>
              <w:left w:type="dxa" w:w="120"/>
              <w:bottom w:type="dxa" w:w="80"/>
              <w:right w:type="dxa" w:w="120"/>
            </w:tcMar>
          </w:tcPr>
          <w:p>
            <w:r>
              <w:t xml:space="preserve">16 records → 8 removed</w:t>
            </w:r>
          </w:p>
        </w:tc>
        <w:tc>
          <w:tcPr>
            <w:tcW w:type="dxa" w:w="3500"/>
            <w:tcMar>
              <w:top w:type="dxa" w:w="80"/>
              <w:left w:type="dxa" w:w="120"/>
              <w:bottom w:type="dxa" w:w="80"/>
              <w:right w:type="dxa" w:w="120"/>
            </w:tcMar>
          </w:tcPr>
          <w:p>
            <w:r>
              <w:t xml:space="preserve">Exact duplicates removed; similar-but-different records kept</w:t>
            </w:r>
          </w:p>
        </w:tc>
      </w:tr>
      <w:tr>
        <w:tc>
          <w:tcPr>
            <w:tcW w:type="dxa" w:w="2600"/>
            <w:tcMar>
              <w:top w:type="dxa" w:w="80"/>
              <w:left w:type="dxa" w:w="120"/>
              <w:bottom w:type="dxa" w:w="80"/>
              <w:right w:type="dxa" w:w="120"/>
            </w:tcMar>
          </w:tcPr>
          <w:p>
            <w:r>
              <w:t xml:space="preserve">3. Inconsistent text</w:t>
            </w:r>
          </w:p>
        </w:tc>
        <w:tc>
          <w:tcPr>
            <w:tcW w:type="dxa" w:w="3600"/>
            <w:tcMar>
              <w:top w:type="dxa" w:w="80"/>
              <w:left w:type="dxa" w:w="120"/>
              <w:bottom w:type="dxa" w:w="80"/>
              <w:right w:type="dxa" w:w="120"/>
            </w:tcMar>
          </w:tcPr>
          <w:p>
            <w:r>
              <w:t xml:space="preserve">118 records standardized (39 neighborhood + 79 status)</w:t>
            </w:r>
          </w:p>
        </w:tc>
        <w:tc>
          <w:tcPr>
            <w:tcW w:type="dxa" w:w="3500"/>
            <w:tcMar>
              <w:top w:type="dxa" w:w="80"/>
              <w:left w:type="dxa" w:w="120"/>
              <w:bottom w:type="dxa" w:w="80"/>
              <w:right w:type="dxa" w:w="120"/>
            </w:tcMar>
          </w:tcPr>
          <w:p>
            <w:r>
              <w:t xml:space="preserve">Casing/whitespace unified to one form per real value</w:t>
            </w:r>
          </w:p>
        </w:tc>
      </w:tr>
      <w:tr>
        <w:tc>
          <w:tcPr>
            <w:tcW w:type="dxa" w:w="2600"/>
            <w:tcMar>
              <w:top w:type="dxa" w:w="80"/>
              <w:left w:type="dxa" w:w="120"/>
              <w:bottom w:type="dxa" w:w="80"/>
              <w:right w:type="dxa" w:w="120"/>
            </w:tcMar>
          </w:tcPr>
          <w:p>
            <w:r>
              <w:t xml:space="preserve">4. Orphan member_id</w:t>
            </w:r>
          </w:p>
        </w:tc>
        <w:tc>
          <w:tcPr>
            <w:tcW w:type="dxa" w:w="3600"/>
            <w:tcMar>
              <w:top w:type="dxa" w:w="80"/>
              <w:left w:type="dxa" w:w="120"/>
              <w:bottom w:type="dxa" w:w="80"/>
              <w:right w:type="dxa" w:w="120"/>
            </w:tcMar>
          </w:tcPr>
          <w:p>
            <w:r>
              <w:t xml:space="preserve">5 records removed</w:t>
            </w:r>
          </w:p>
        </w:tc>
        <w:tc>
          <w:tcPr>
            <w:tcW w:type="dxa" w:w="3500"/>
            <w:tcMar>
              <w:top w:type="dxa" w:w="80"/>
              <w:left w:type="dxa" w:w="120"/>
              <w:bottom w:type="dxa" w:w="80"/>
              <w:right w:type="dxa" w:w="120"/>
            </w:tcMar>
          </w:tcPr>
          <w:p>
            <w:r>
              <w:t xml:space="preserve">Records removed; registered members table untouched</w:t>
            </w:r>
          </w:p>
        </w:tc>
      </w:tr>
    </w:tbl>
    <w:p>
      <w:pPr>
        <w:spacing w:after="150"/>
      </w:pPr>
    </w:p>
    <w:p>
      <w:pPr>
        <w:spacing w:after="120"/>
      </w:pPr>
      <w:r>
        <w:t xml:space="preserve">Starting row count: 425. Final row count after cleaning: 411. The cleaned dataset is saved as task2_cleaned_data.csv and is ready for Task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2026-08-24T08:35:22.296Z</dcterms:created>
  <dcterms:modified xsi:type="dcterms:W3CDTF">2026-08-24T08:35:22.363Z</dcterms:modified>
</cp:coreProperties>
</file>

<file path=docProps/custom.xml><?xml version="1.0" encoding="utf-8"?>
<Properties xmlns="http://schemas.openxmlformats.org/officeDocument/2006/custom-properties" xmlns:vt="http://schemas.openxmlformats.org/officeDocument/2006/docPropsVTypes"/>
</file>