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Supplementary Material</w:t>
      </w:r>
    </w:p>
    <w:p>
      <w:pPr>
        <w:spacing w:after="500"/>
        <w:jc w:val="center"/>
      </w:pPr>
      <w:r>
        <w:rPr>
          <w:rFonts w:ascii="Times New Roman" w:cs="Times New Roman" w:eastAsia="Times New Roman" w:hAnsi="Times New Roman"/>
          <w:i/>
          <w:iCs/>
          <w:sz w:val="24"/>
          <w:szCs w:val="24"/>
        </w:rPr>
        <w:t xml:space="preserve">2026 Lebanon Conflict Misinformation Study</w:t>
      </w:r>
    </w:p>
    <w:p>
      <w:pPr>
        <w:pStyle w:val="Heading1"/>
        <w:spacing w:after="200" w:before="400"/>
      </w:pPr>
      <w:r>
        <w:t xml:space="preserve">S1. Claim retrieval: complete search terms</w:t>
      </w:r>
    </w:p>
    <w:p>
      <w:pPr>
        <w:spacing w:after="200" w:line="480"/>
        <w:jc w:val="both"/>
      </w:pPr>
      <w:r>
        <w:rPr>
          <w:rFonts w:ascii="Times New Roman" w:cs="Times New Roman" w:eastAsia="Times New Roman" w:hAnsi="Times New Roman"/>
          <w:sz w:val="24"/>
          <w:szCs w:val="24"/>
        </w:rPr>
        <w:t xml:space="preserve">This section reports the complete set of search terms and retrieval parameters used for claim retrieval, referenced in Methods (“Claim retrieval”) but not reproduced there in full.</w:t>
      </w:r>
    </w:p>
    <w:p>
      <w:pPr>
        <w:pStyle w:val="Heading2"/>
        <w:spacing w:after="150" w:before="300"/>
      </w:pPr>
      <w:r>
        <w:t xml:space="preserve">S1.1 Google Fact Check Tools API query terms</w:t>
      </w:r>
    </w:p>
    <w:p>
      <w:pPr>
        <w:spacing w:after="200" w:line="480"/>
        <w:jc w:val="both"/>
      </w:pPr>
      <w:r>
        <w:rPr>
          <w:rFonts w:ascii="Times New Roman" w:cs="Times New Roman" w:eastAsia="Times New Roman" w:hAnsi="Times New Roman"/>
          <w:sz w:val="24"/>
          <w:szCs w:val="24"/>
        </w:rPr>
        <w:t xml:space="preserve">English-language queries (four terms, queried independently):</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Lebanon</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Hezbollah</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Beirut</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Southern Lebanon</w:t>
      </w:r>
    </w:p>
    <w:p>
      <w:pPr>
        <w:spacing w:after="200" w:line="480"/>
        <w:jc w:val="both"/>
      </w:pPr>
      <w:r>
        <w:rPr>
          <w:rFonts w:ascii="Times New Roman" w:cs="Times New Roman" w:eastAsia="Times New Roman" w:hAnsi="Times New Roman"/>
          <w:sz w:val="24"/>
          <w:szCs w:val="24"/>
        </w:rPr>
        <w:t xml:space="preserve">Arabic-language queries (three terms, queried independently):</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لبنان (Lebanon)</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حزب الله (Hezbollah)</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بيروت (Beirut)</w:t>
      </w:r>
    </w:p>
    <w:p>
      <w:pPr>
        <w:spacing w:after="200" w:line="480"/>
        <w:jc w:val="both"/>
      </w:pPr>
      <w:r>
        <w:rPr>
          <w:rFonts w:ascii="Times New Roman" w:cs="Times New Roman" w:eastAsia="Times New Roman" w:hAnsi="Times New Roman"/>
          <w:sz w:val="24"/>
          <w:szCs w:val="24"/>
        </w:rPr>
        <w:t xml:space="preserve">Note: there is no Arabic-language query corresponding to “Southern Lebanon” — the Arabic query set (three terms) is not a term-for-term translation of the English query set (four terms). This is reported exactly as run; Methods refers to “seven predefined English- and Arabic-language terms” rather than describing the two sets as parallel or equivalent.</w:t>
      </w:r>
    </w:p>
    <w:p>
      <w:pPr>
        <w:spacing w:after="200" w:line="480"/>
        <w:jc w:val="both"/>
      </w:pPr>
      <w:r>
        <w:rPr>
          <w:rFonts w:ascii="Times New Roman" w:cs="Times New Roman" w:eastAsia="Times New Roman" w:hAnsi="Times New Roman"/>
          <w:sz w:val="24"/>
          <w:szCs w:val="24"/>
        </w:rPr>
        <w:t xml:space="preserve">Each query was submitted independently to the Google Fact Check Tools API (claims:search endpoint), with results paginated to exhaustion for each query-language pair. Results were then pooled and deduplicated across all seven queries before the eligibility and deduplication procedure described in Methods was applied.</w:t>
      </w:r>
    </w:p>
    <w:p>
      <w:pPr>
        <w:pStyle w:val="Heading2"/>
        <w:spacing w:after="150" w:before="300"/>
      </w:pPr>
      <w:r>
        <w:t xml:space="preserve">S1.2 Direct organization-level retrieval</w:t>
      </w:r>
    </w:p>
    <w:p>
      <w:pPr>
        <w:spacing w:after="200" w:line="480"/>
        <w:jc w:val="both"/>
      </w:pPr>
      <w:r>
        <w:rPr>
          <w:rFonts w:ascii="Times New Roman" w:cs="Times New Roman" w:eastAsia="Times New Roman" w:hAnsi="Times New Roman"/>
          <w:sz w:val="24"/>
          <w:szCs w:val="24"/>
        </w:rPr>
        <w:t xml:space="preserve">Misbar's own content-listing API was queried directly against its Lebanon-conflict tag (internal tag identifier 2141), retrieving all listed items under that tag rather than by keyword search. This is the retrieval channel referenced in Methods as producing Misbar's disproportionate representation in the corpus. No other organization's content was retrieved via a comparable direct, systematic method; all other organizations' fact-checks entered the corpus via the Google Fact Check Tools API queries above.</w:t>
      </w:r>
    </w:p>
    <w:p>
      <w:pPr>
        <w:pStyle w:val="Heading1"/>
        <w:spacing w:after="200" w:before="400"/>
      </w:pPr>
      <w:r>
        <w:t xml:space="preserve">S2. Manipulation-type taxonomy: full definitions</w:t>
      </w:r>
    </w:p>
    <w:p>
      <w:pPr>
        <w:spacing w:after="200" w:line="480"/>
        <w:jc w:val="both"/>
      </w:pPr>
      <w:r>
        <w:rPr>
          <w:rFonts w:ascii="Times New Roman" w:cs="Times New Roman" w:eastAsia="Times New Roman" w:hAnsi="Times New Roman"/>
          <w:sz w:val="24"/>
          <w:szCs w:val="24"/>
        </w:rPr>
        <w:t xml:space="preserve">The following are the complete, verbatim category definitions from the study's frozen codebook (Section 4.1), referenced in Methods (“Manipulation-type coding”) in summarized form.</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AI-generated — wholly synthetic image, video, or audio.</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AI-manipulated — real media digitally altered with AI tools (e.g., voice clone, face swap).</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recycled old content — genuine media from a real, different event or date, presented as current.</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false context / wrong location — genuine, contemporaneous media misattributed to the wrong place or actor.</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fabricated quote — a statement attributed to a real person that they did not make, with no synthetic media involved.</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fabricated document — an invented official document, memo, or dataset.</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other — claims with no manipulated media at all (e.g., a fabricated narrative about a company or government action).</w:t>
      </w:r>
    </w:p>
    <w:p>
      <w:pPr>
        <w:spacing w:after="200" w:line="480"/>
        <w:jc w:val="both"/>
      </w:pPr>
      <w:r>
        <w:rPr>
          <w:rFonts w:ascii="Times New Roman" w:cs="Times New Roman" w:eastAsia="Times New Roman" w:hAnsi="Times New Roman"/>
          <w:sz w:val="24"/>
          <w:szCs w:val="24"/>
        </w:rPr>
        <w:t xml:space="preserve">Coding rule: coders assigned the one type that the fact-checker's own analysis emphasized as primary. Ambiguous cases falling between recycled old content and false context/wrong location were coded according to the fact-checker's own primary explanation of the claim, consistent with Methods. Where a claim's fact-check identified two combined mechanisms, the primary type was recorded in this field and the secondary mechanism was preserved as a compound label rather than discarded — the study's one such case (recycled old content + audio-manipulated) is handled this way and is described in Methods. This compound case is grouped under authentic-content misuse, not AI-related, in the primary grouped variable, since recycled footage was judged its primary mechanism; the grouped variable is a mutually exclusive primary classification, not a tally of every manipulation technique present in a claim.</w:t>
      </w:r>
    </w:p>
    <w:p>
      <w:pPr>
        <w:pStyle w:val="Heading1"/>
        <w:spacing w:after="200" w:before="400"/>
      </w:pPr>
      <w:r>
        <w:t xml:space="preserve">S3. Newsroom-penetration coding: full definitions and outlet roster</w:t>
      </w:r>
    </w:p>
    <w:p>
      <w:pPr>
        <w:pStyle w:val="Heading2"/>
        <w:spacing w:after="150" w:before="300"/>
      </w:pPr>
      <w:r>
        <w:t xml:space="preserve">S3.1 Penetration code definitions (verbatim, with operational note)</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0 — not found in professional media.</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1 — mentioned by media but clearly treated as unverified or false. This includes an outlet's own fact-check desk debunking the claim (e.g., a general-news outlet's in-house fact-check of a claim counts as a 1 for that outlet, not a 2).</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2 — reported or substantially relied upon as factual. Only code 2 counts as newsroom penetration.</w:t>
      </w:r>
    </w:p>
    <w:p>
      <w:pPr>
        <w:spacing w:after="200" w:line="480"/>
        <w:jc w:val="both"/>
      </w:pPr>
      <w:r>
        <w:rPr>
          <w:rFonts w:ascii="Times New Roman" w:cs="Times New Roman" w:eastAsia="Times New Roman" w:hAnsi="Times New Roman"/>
          <w:sz w:val="24"/>
          <w:szCs w:val="24"/>
        </w:rPr>
        <w:t xml:space="preserve">Operational note: the three definitions above are reproduced verbatim from the study's frozen codebook. In the scaled analysis actually carried out across all 142 claims, code 1 was not systematically searched for or enumerated — only code 2 was. A claim's recorded code of 0 therefore means, operationally, that no category-2 penetration was identified for that claim under the completed search protocol; it does not mean that a systematic check for category-1 mentions was performed and came back negative. This matches the operational definition given in Methods and in the accompanying search log (Supplementary Data S1).</w:t>
      </w:r>
    </w:p>
    <w:p>
      <w:pPr>
        <w:pStyle w:val="Heading2"/>
        <w:spacing w:after="150" w:before="300"/>
      </w:pPr>
      <w:r>
        <w:t xml:space="preserve">S3.2 any_professional_outlet — qualifying criteria (verbatim)</w:t>
      </w:r>
    </w:p>
    <w:p>
      <w:pPr>
        <w:spacing w:after="200" w:line="480"/>
        <w:jc w:val="both"/>
      </w:pPr>
      <w:r>
        <w:rPr>
          <w:rFonts w:ascii="Times New Roman" w:cs="Times New Roman" w:eastAsia="Times New Roman" w:hAnsi="Times New Roman"/>
          <w:sz w:val="24"/>
          <w:szCs w:val="24"/>
        </w:rPr>
        <w:t xml:space="preserve">An outlet qualifies for logging as a professional news outlet (as opposed to being disregarded as a social media account, blog, or content farm) if it has a named editorial staff, a public corrections policy or a history of issuing corrections, and is not itself a dedicated fact-checking organization. Dedicated fact-checking organizations are excluded from this category even though they are also professional: a fact-check is the conceptual opposite of penetration, and keeping fact-checking organizations and news outlets in separate categories is what makes that distinction usable.</w:t>
      </w:r>
    </w:p>
    <w:p>
      <w:pPr>
        <w:pStyle w:val="Heading2"/>
        <w:spacing w:after="150" w:before="300"/>
      </w:pPr>
      <w:r>
        <w:t xml:space="preserve">S3.3 major_international_outlet — complete fixed roster</w:t>
      </w:r>
    </w:p>
    <w:p>
      <w:pPr>
        <w:spacing w:after="200" w:line="480"/>
        <w:jc w:val="both"/>
      </w:pPr>
      <w:r>
        <w:rPr>
          <w:rFonts w:ascii="Times New Roman" w:cs="Times New Roman" w:eastAsia="Times New Roman" w:hAnsi="Times New Roman"/>
          <w:sz w:val="24"/>
          <w:szCs w:val="24"/>
        </w:rPr>
        <w:t xml:space="preserve">English-language wires and broadcasters:</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Reuters</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Associated Press</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BBC</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CNN</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Al Jazeera English</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Agence France-Presse (news wire desk — distinct from AFP Fact Check)</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The New York Times</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The Washington Post</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The Wall Street Journal</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NPR</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The Guardian</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Sky News</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France 24 (English)</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Financial Times</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Bloomberg</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Deutsche Welle (English)</w:t>
      </w:r>
    </w:p>
    <w:p>
      <w:pPr>
        <w:spacing w:after="200" w:line="480"/>
        <w:jc w:val="both"/>
      </w:pPr>
      <w:r>
        <w:rPr>
          <w:rFonts w:ascii="Times New Roman" w:cs="Times New Roman" w:eastAsia="Times New Roman" w:hAnsi="Times New Roman"/>
          <w:sz w:val="24"/>
          <w:szCs w:val="24"/>
        </w:rPr>
        <w:t xml:space="preserve">Arabic-language majors:</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Al Jazeera Arabic</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Al Arabiya</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Asharq Al-Awsat</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AFP Arabic (news wire desk)</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France 24 Arabic</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BBC Arabic</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Sky News Arabia</w:t>
      </w:r>
    </w:p>
    <w:p>
      <w:pPr>
        <w:pStyle w:val="ListParagraph"/>
        <w:numPr>
          <w:ilvl w:val="0"/>
          <w:numId w:val="1"/>
        </w:numPr>
        <w:spacing w:after="120" w:line="360"/>
        <w:ind w:left="480"/>
      </w:pPr>
      <w:r>
        <w:rPr>
          <w:rFonts w:ascii="Times New Roman" w:cs="Times New Roman" w:eastAsia="Times New Roman" w:hAnsi="Times New Roman"/>
          <w:sz w:val="24"/>
          <w:szCs w:val="24"/>
        </w:rPr>
        <w:t xml:space="preserve">Deutsche Welle Arabic</w:t>
      </w:r>
    </w:p>
    <w:p>
      <w:pPr>
        <w:spacing w:after="200" w:line="480"/>
        <w:jc w:val="both"/>
      </w:pPr>
      <w:r>
        <w:rPr>
          <w:rFonts w:ascii="Times New Roman" w:cs="Times New Roman" w:eastAsia="Times New Roman" w:hAnsi="Times New Roman"/>
          <w:sz w:val="24"/>
          <w:szCs w:val="24"/>
        </w:rPr>
        <w:t xml:space="preserve">This tier is reserved for globally prominent general-news organizations — wire services and major broadcasters or newspapers with broad international reach. Specialist or trade outlets are excluded from this tier even when influential within their niche: WIRED, for example, is deliberately excluded from major_international_outlet and would instead be coded any_professional_outlet, since specialist technology/culture coverage represents a different kind of reach than a wire service or a national paper of record. Every other qualifying outlet (for example, IBTimes, national or regional papers, and digital-native outlets) is any_professional_outlet but not major_international_outlet. This is a fixed reference list, not a per-claim judgment call.</w:t>
      </w:r>
    </w:p>
    <w:p>
      <w:pPr>
        <w:pStyle w:val="Heading1"/>
        <w:spacing w:after="200" w:before="400"/>
      </w:pPr>
      <w:r>
        <w:t xml:space="preserve">S4. Newsroom-penetration search protocol and accompanying data</w:t>
      </w:r>
    </w:p>
    <w:p>
      <w:pPr>
        <w:spacing w:after="200" w:line="480"/>
        <w:jc w:val="both"/>
      </w:pPr>
      <w:r>
        <w:rPr>
          <w:rFonts w:ascii="Times New Roman" w:cs="Times New Roman" w:eastAsia="Times New Roman" w:hAnsi="Times New Roman"/>
          <w:sz w:val="24"/>
          <w:szCs w:val="24"/>
        </w:rPr>
        <w:t xml:space="preserve">For each of the 142 claims, a search query was constructed from distinctive details specific to that claim or its associated fact-check — a named individual, a specific place, a casualty figure, a distinctive visual description, or the fact-check's own descriptive title — rather than a single generic query applied to every claim. Claims whose normalized description contained no such distinctive, independently searchable detail (for example, a generic “video shows recent clashes between Hezbollah and Israeli forces” claim with no distinguishing feature) were instead searched using a hook drawn from the underlying fact-check article itself (its own title, wording, or description), on the reasoning that the fact-check's own account of the claim typically preserves the distinguishing detail that a fully generic paraphrase does not.</w:t>
      </w:r>
    </w:p>
    <w:p>
      <w:pPr>
        <w:spacing w:after="200" w:line="480"/>
        <w:jc w:val="both"/>
      </w:pPr>
      <w:r>
        <w:rPr>
          <w:rFonts w:ascii="Times New Roman" w:cs="Times New Roman" w:eastAsia="Times New Roman" w:hAnsi="Times New Roman"/>
          <w:sz w:val="24"/>
          <w:szCs w:val="24"/>
        </w:rPr>
        <w:t xml:space="preserve">Three search methods were used across the corpus, in combination: (1) general web search using the constructed query, checking specifically for a professional or major outlet reporting the claim as fact; (2) for a subset of claims, a query against GDELT's DOC 2.0 API, a global news-monitoring database indexing professional outlets across approximately 65 languages, using the same distinctive-detail query; and (3) for a small remaining number of claims where the above did not resolve cleanly, a follow-up manual check. The scaled newsroom searches were completed on September 13–14, 2026.</w:t>
      </w:r>
    </w:p>
    <w:p>
      <w:pPr>
        <w:spacing w:after="200" w:line="480"/>
        <w:jc w:val="both"/>
      </w:pPr>
      <w:r>
        <w:rPr>
          <w:rFonts w:ascii="Times New Roman" w:cs="Times New Roman" w:eastAsia="Times New Roman" w:hAnsi="Times New Roman"/>
          <w:sz w:val="24"/>
          <w:szCs w:val="24"/>
        </w:rPr>
        <w:t xml:space="preserve">This search process was not exhaustive of all professional news coverage in all languages. A code-0 outcome for a given claim means no category-2 professional-news coverage was identified within the outlets, languages, and search methods actually used for that claim — it is not a claim that no such coverage exists anywhere. One claim's penetration coding (the AI-manipulated video of Lebanese President Joseph Aoun) was corrected after the initial search pass, when documentary evidence of a professional outlet's own published correction and Ombudsman ruling was identified independently of the search protocol described above; this is noted in the accompanying search log.</w:t>
      </w:r>
    </w:p>
    <w:p>
      <w:pPr>
        <w:pStyle w:val="Heading2"/>
        <w:spacing w:after="150" w:before="300"/>
      </w:pPr>
      <w:r>
        <w:t xml:space="preserve">S4.1 Accompanying data</w:t>
      </w:r>
    </w:p>
    <w:p>
      <w:pPr>
        <w:spacing w:after="200" w:line="480"/>
        <w:jc w:val="both"/>
      </w:pPr>
      <w:r>
        <w:rPr>
          <w:rFonts w:ascii="Times New Roman" w:cs="Times New Roman" w:eastAsia="Times New Roman" w:hAnsi="Times New Roman"/>
          <w:sz w:val="24"/>
          <w:szCs w:val="24"/>
        </w:rPr>
        <w:t xml:space="preserve">Supplementary Data S1 (NewsSearchLog, CSV) provides the complete claim-by-claim record for all 142 claims: claim_id, search_date, search_complete (whether the search was completed), search_method (which of the methods above was used, and any correction-specific method note), notes (outcome narrative, including cross-references for the two penetration cases), and the resulting penetration_code, major_international, fact_check_existed_before_publication, and correction_issued fields. The literal query strings and claim-specific query rationales were not preserved as separate fields; the protocol above describes how queries were constructed, while Supplementary Data S1 records the search method and outcome for each claim.</w:t>
      </w:r>
    </w:p>
    <w:p>
      <w:pPr>
        <w:spacing w:after="200" w:line="480"/>
        <w:jc w:val="both"/>
      </w:pPr>
      <w:r>
        <w:rPr>
          <w:rFonts w:ascii="Times New Roman" w:cs="Times New Roman" w:eastAsia="Times New Roman" w:hAnsi="Times New Roman"/>
          <w:sz w:val="24"/>
          <w:szCs w:val="24"/>
        </w:rPr>
        <w:t xml:space="preserve">For the two claims coded as category-2 penetration, the NewsSearchLog notes field refers to the underlying news-coverage record rather than restating outlet names and URLs inline. Those details are provided in full in Supplementary Data S2 (NewsCoverage, CSV), which lists all three penetration-article records (two for the recirculated-footage case, one for the AI-manipulated Aoun-video case) with outlet name, publication date, language, URL, and — where applicable — correction date, correction URL, and (for the Aoun-video case) the URL of the outlet's published Ombudsman breach-finding investigation.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2026-09-15T10:26:49.079Z</dcterms:created>
  <dcterms:modified xsi:type="dcterms:W3CDTF">2026-09-15T10:26:49.080Z</dcterms:modified>
</cp:coreProperties>
</file>

<file path=docProps/custom.xml><?xml version="1.0" encoding="utf-8"?>
<Properties xmlns="http://schemas.openxmlformats.org/officeDocument/2006/custom-properties" xmlns:vt="http://schemas.openxmlformats.org/officeDocument/2006/docPropsVTypes"/>
</file>