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SALMA R. GHONEIM</w:t>
      </w:r>
    </w:p>
    <w:p>
      <w:r>
        <w:t>Maadi, Cairo | +20 128 335 7790 | salma.ghoneim.ml@example.com | github.com/salma-ghoneim</w:t>
      </w:r>
    </w:p>
    <w:p/>
    <w:p>
      <w:pPr>
        <w:pStyle w:val="Heading1"/>
      </w:pPr>
      <w:r>
        <w:t>SUMMARY</w:t>
      </w:r>
    </w:p>
    <w:p>
      <w:r>
        <w:t>ML engineer, 4 years. I spend more time on serving and monitoring than on modelling,</w:t>
      </w:r>
    </w:p>
    <w:p>
      <w:r>
        <w:t>which I think is the correct ratio.</w:t>
      </w:r>
    </w:p>
    <w:p/>
    <w:p>
      <w:pPr>
        <w:pStyle w:val="Heading1"/>
      </w:pPr>
      <w:r>
        <w:t>EXPERIENCE</w:t>
      </w:r>
    </w:p>
    <w:p>
      <w:r>
        <w:t>Machine Learning Engineer - Rakiza AI (Jun 2023 - Present)</w:t>
      </w:r>
    </w:p>
    <w:p>
      <w:pPr>
        <w:pStyle w:val="ListBullet"/>
      </w:pPr>
      <w:r>
        <w:t>Own the Arabic speech-to-text pipeline. Fine-tuned Whisper-large on ~900 hours of</w:t>
      </w:r>
    </w:p>
    <w:p>
      <w:r>
        <w:t xml:space="preserve">  Egyptian dialect audio. WER went from 31% to 19% on our internal test set, which is</w:t>
      </w:r>
    </w:p>
    <w:p>
      <w:r>
        <w:t xml:space="preserve">  still not good enough for the medical use case.</w:t>
      </w:r>
    </w:p>
    <w:p>
      <w:pPr>
        <w:pStyle w:val="ListBullet"/>
      </w:pPr>
      <w:r>
        <w:t>Built the serving stack: Triton, ONNX exports, autoscaling on GKE.</w:t>
      </w:r>
    </w:p>
    <w:p>
      <w:pPr>
        <w:pStyle w:val="ListBullet"/>
      </w:pPr>
      <w:r>
        <w:t>Set up drift monitoring after we shipped a model that quietly degraded for six weeks</w:t>
      </w:r>
    </w:p>
    <w:p>
      <w:r>
        <w:t xml:space="preserve">  before anyone noticed.</w:t>
      </w:r>
    </w:p>
    <w:p/>
    <w:p>
      <w:r>
        <w:t>Data Scientist - Rakiza AI (Sep 2022 - May 2023)</w:t>
      </w:r>
    </w:p>
    <w:p>
      <w:pPr>
        <w:pStyle w:val="ListBullet"/>
      </w:pPr>
      <w:r>
        <w:t>Churn model for the B2B product. Gradient boosting, nothing exotic. The feature that</w:t>
      </w:r>
    </w:p>
    <w:p>
      <w:r>
        <w:t xml:space="preserve">  mattered most turned out to be support ticket volume.</w:t>
      </w:r>
    </w:p>
    <w:p/>
    <w:p>
      <w:pPr>
        <w:pStyle w:val="Heading1"/>
      </w:pPr>
      <w:r>
        <w:t>EDUCATION</w:t>
      </w:r>
    </w:p>
    <w:p>
      <w:r>
        <w:t>MSc Computer Science (Machine Learning) - Nile University, 2022</w:t>
      </w:r>
    </w:p>
    <w:p>
      <w:r>
        <w:t>Thesis on low-resource Arabic ASR.</w:t>
      </w:r>
    </w:p>
    <w:p>
      <w:r>
        <w:t>BSc Computer Science - Nile University, 2020</w:t>
      </w:r>
    </w:p>
    <w:p/>
    <w:p>
      <w:pPr>
        <w:pStyle w:val="Heading1"/>
      </w:pPr>
      <w:r>
        <w:t>SKILLS</w:t>
      </w:r>
    </w:p>
    <w:p>
      <w:r>
        <w:t>Python, PyTorch, HuggingFace Transformers, scikit-learn, ONNX, Triton Inference Server,</w:t>
      </w:r>
    </w:p>
    <w:p>
      <w:r>
        <w:t>MLflow, Docker, Kubernetes, GCP (Vertex, GKE), SQL, Weights &amp; Biases, FastAPI</w:t>
      </w:r>
    </w:p>
    <w:p/>
    <w:p>
      <w:pPr>
        <w:pStyle w:val="Heading1"/>
      </w:pPr>
      <w:r>
        <w:t>PUBLICATIONS</w:t>
      </w:r>
    </w:p>
    <w:p>
      <w:r>
        <w:t>Ghoneim, S. et al. "Dialectal variation in Egyptian Arabic ASR", ArabicNLP Workshop,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