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70F2"/>
          <w:sz w:val="48"/>
        </w:rPr>
        <w:t>INSPECTA AI ENGINE: RAG ALGORITHM SPECIFICATION</w:t>
      </w:r>
    </w:p>
    <w:p>
      <w:pPr>
        <w:spacing w:before="0" w:after="360"/>
        <w:jc w:val="center"/>
      </w:pPr>
      <w:r>
        <w:rPr>
          <w:rFonts w:ascii="Arial" w:hAnsi="Arial"/>
          <w:color w:val="64748B"/>
          <w:sz w:val="26"/>
        </w:rPr>
        <w:t>Formal Mathematical, Architectural &amp; Retrieval Specification for Oil &amp; Gas QA/QC Compliance Systems</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rFonts w:ascii="Arial" w:hAnsi="Arial"/>
                <w:b/>
                <w:color w:val="0F2942"/>
                <w:sz w:val="19"/>
              </w:rPr>
              <w:t>Document Identification:</w:t>
            </w:r>
          </w:p>
        </w:tc>
        <w:tc>
          <w:tcPr>
            <w:tcW w:type="dxa" w:w="6192"/>
            <w:shd w:fill="FFFFFF"/>
            <w:tcMar>
              <w:top w:w="80" w:type="dxa"/>
              <w:bottom w:w="80" w:type="dxa"/>
              <w:left w:w="120" w:type="dxa"/>
              <w:right w:w="120" w:type="dxa"/>
            </w:tcMar>
          </w:tcPr>
          <w:p>
            <w:r>
              <w:rPr>
                <w:rFonts w:ascii="Arial" w:hAnsi="Arial"/>
                <w:color w:val="334155"/>
                <w:sz w:val="19"/>
              </w:rPr>
              <w:t>SPEC-AI-RAG-2026-REV3</w:t>
            </w:r>
          </w:p>
        </w:tc>
      </w:tr>
      <w:tr>
        <w:tc>
          <w:tcPr>
            <w:tcW w:type="dxa" w:w="3168"/>
            <w:shd w:fill="F1F5F9"/>
            <w:tcMar>
              <w:top w:w="80" w:type="dxa"/>
              <w:bottom w:w="80" w:type="dxa"/>
              <w:left w:w="120" w:type="dxa"/>
              <w:right w:w="120" w:type="dxa"/>
            </w:tcMar>
          </w:tcPr>
          <w:p>
            <w:r>
              <w:rPr>
                <w:rFonts w:ascii="Arial" w:hAnsi="Arial"/>
                <w:b/>
                <w:color w:val="0F2942"/>
                <w:sz w:val="19"/>
              </w:rPr>
              <w:t>System Name &amp; Version:</w:t>
            </w:r>
          </w:p>
        </w:tc>
        <w:tc>
          <w:tcPr>
            <w:tcW w:type="dxa" w:w="6192"/>
            <w:shd w:fill="FFFFFF"/>
            <w:tcMar>
              <w:top w:w="80" w:type="dxa"/>
              <w:bottom w:w="80" w:type="dxa"/>
              <w:left w:w="120" w:type="dxa"/>
              <w:right w:w="120" w:type="dxa"/>
            </w:tcMar>
          </w:tcPr>
          <w:p>
            <w:r>
              <w:rPr>
                <w:rFonts w:ascii="Arial" w:hAnsi="Arial"/>
                <w:color w:val="334155"/>
                <w:sz w:val="19"/>
              </w:rPr>
              <w:t>Inspecta Oil &amp; Gas Intelligent Engineering Assistant v3.4</w:t>
            </w:r>
          </w:p>
        </w:tc>
      </w:tr>
      <w:tr>
        <w:tc>
          <w:tcPr>
            <w:tcW w:type="dxa" w:w="3168"/>
            <w:shd w:fill="F1F5F9"/>
            <w:tcMar>
              <w:top w:w="80" w:type="dxa"/>
              <w:bottom w:w="80" w:type="dxa"/>
              <w:left w:w="120" w:type="dxa"/>
              <w:right w:w="120" w:type="dxa"/>
            </w:tcMar>
          </w:tcPr>
          <w:p>
            <w:r>
              <w:rPr>
                <w:rFonts w:ascii="Arial" w:hAnsi="Arial"/>
                <w:b/>
                <w:color w:val="0F2942"/>
                <w:sz w:val="19"/>
              </w:rPr>
              <w:t>Classification / Clearance:</w:t>
            </w:r>
          </w:p>
        </w:tc>
        <w:tc>
          <w:tcPr>
            <w:tcW w:type="dxa" w:w="6192"/>
            <w:shd w:fill="FFFFFF"/>
            <w:tcMar>
              <w:top w:w="80" w:type="dxa"/>
              <w:bottom w:w="80" w:type="dxa"/>
              <w:left w:w="120" w:type="dxa"/>
              <w:right w:w="120" w:type="dxa"/>
            </w:tcMar>
          </w:tcPr>
          <w:p>
            <w:r>
              <w:rPr>
                <w:rFonts w:ascii="Arial" w:hAnsi="Arial"/>
                <w:color w:val="334155"/>
                <w:sz w:val="19"/>
              </w:rPr>
              <w:t>Confidential Engineering Specification / QA-QC Technical Document</w:t>
            </w:r>
          </w:p>
        </w:tc>
      </w:tr>
      <w:tr>
        <w:tc>
          <w:tcPr>
            <w:tcW w:type="dxa" w:w="3168"/>
            <w:shd w:fill="F1F5F9"/>
            <w:tcMar>
              <w:top w:w="80" w:type="dxa"/>
              <w:bottom w:w="80" w:type="dxa"/>
              <w:left w:w="120" w:type="dxa"/>
              <w:right w:w="120" w:type="dxa"/>
            </w:tcMar>
          </w:tcPr>
          <w:p>
            <w:r>
              <w:rPr>
                <w:rFonts w:ascii="Arial" w:hAnsi="Arial"/>
                <w:b/>
                <w:color w:val="0F2942"/>
                <w:sz w:val="19"/>
              </w:rPr>
              <w:t>Governing Standards Baseline:</w:t>
            </w:r>
          </w:p>
        </w:tc>
        <w:tc>
          <w:tcPr>
            <w:tcW w:type="dxa" w:w="6192"/>
            <w:shd w:fill="FFFFFF"/>
            <w:tcMar>
              <w:top w:w="80" w:type="dxa"/>
              <w:bottom w:w="80" w:type="dxa"/>
              <w:left w:w="120" w:type="dxa"/>
              <w:right w:w="120" w:type="dxa"/>
            </w:tcMar>
          </w:tcPr>
          <w:p>
            <w:r>
              <w:rPr>
                <w:rFonts w:ascii="Arial" w:hAnsi="Arial"/>
                <w:color w:val="334155"/>
                <w:sz w:val="19"/>
              </w:rPr>
              <w:t>ASME Section VIII Div 1, ASME B31.3, ASME B31.4, ASME B31.8, ASME V, API 4F, API RP 4G, API RP 8B, API 5CT, API 1104, API 16D, AWS D1.1, ISO 3834-2</w:t>
            </w:r>
          </w:p>
        </w:tc>
      </w:tr>
      <w:tr>
        <w:tc>
          <w:tcPr>
            <w:tcW w:type="dxa" w:w="3168"/>
            <w:shd w:fill="F1F5F9"/>
            <w:tcMar>
              <w:top w:w="80" w:type="dxa"/>
              <w:bottom w:w="80" w:type="dxa"/>
              <w:left w:w="120" w:type="dxa"/>
              <w:right w:w="120" w:type="dxa"/>
            </w:tcMar>
          </w:tcPr>
          <w:p>
            <w:r>
              <w:rPr>
                <w:rFonts w:ascii="Arial" w:hAnsi="Arial"/>
                <w:b/>
                <w:color w:val="0F2942"/>
                <w:sz w:val="19"/>
              </w:rPr>
              <w:t>Intended Professional Reviewers:</w:t>
            </w:r>
          </w:p>
        </w:tc>
        <w:tc>
          <w:tcPr>
            <w:tcW w:type="dxa" w:w="6192"/>
            <w:shd w:fill="FFFFFF"/>
            <w:tcMar>
              <w:top w:w="80" w:type="dxa"/>
              <w:bottom w:w="80" w:type="dxa"/>
              <w:left w:w="120" w:type="dxa"/>
              <w:right w:w="120" w:type="dxa"/>
            </w:tcMar>
          </w:tcPr>
          <w:p>
            <w:r>
              <w:rPr>
                <w:rFonts w:ascii="Arial" w:hAnsi="Arial"/>
                <w:color w:val="334155"/>
                <w:sz w:val="19"/>
              </w:rPr>
              <w:t>QA/QC Managers, NDT Level III Technical Authorities, Welding Engineers, Pipeline Integrity Specialists, and AI Architecture Auditors</w:t>
            </w:r>
          </w:p>
        </w:tc>
      </w:tr>
      <w:tr>
        <w:tc>
          <w:tcPr>
            <w:tcW w:type="dxa" w:w="3168"/>
            <w:shd w:fill="F1F5F9"/>
            <w:tcMar>
              <w:top w:w="80" w:type="dxa"/>
              <w:bottom w:w="80" w:type="dxa"/>
              <w:left w:w="120" w:type="dxa"/>
              <w:right w:w="120" w:type="dxa"/>
            </w:tcMar>
          </w:tcPr>
          <w:p>
            <w:r>
              <w:rPr>
                <w:rFonts w:ascii="Arial" w:hAnsi="Arial"/>
                <w:b/>
                <w:color w:val="0F2942"/>
                <w:sz w:val="19"/>
              </w:rPr>
              <w:t>Revision &amp; Effective Date:</w:t>
            </w:r>
          </w:p>
        </w:tc>
        <w:tc>
          <w:tcPr>
            <w:tcW w:type="dxa" w:w="6192"/>
            <w:shd w:fill="FFFFFF"/>
            <w:tcMar>
              <w:top w:w="80" w:type="dxa"/>
              <w:bottom w:w="80" w:type="dxa"/>
              <w:left w:w="120" w:type="dxa"/>
              <w:right w:w="120" w:type="dxa"/>
            </w:tcMar>
          </w:tcPr>
          <w:p>
            <w:r>
              <w:rPr>
                <w:rFonts w:ascii="Arial" w:hAnsi="Arial"/>
                <w:color w:val="334155"/>
                <w:sz w:val="19"/>
              </w:rPr>
              <w:t>Revision 3.4.0 — September 2026 (Verified Against 100% Benchmark Accuracy)</w:t>
            </w:r>
          </w:p>
        </w:tc>
      </w:tr>
    </w:tbl>
    <w:p>
      <w:pPr>
        <w:spacing w:after="240"/>
      </w:pPr>
    </w:p>
    <w:p>
      <w:pPr>
        <w:keepNext/>
        <w:spacing w:before="400" w:after="120"/>
      </w:pPr>
      <w:r>
        <w:rPr>
          <w:rFonts w:ascii="Arial" w:hAnsi="Arial"/>
          <w:b/>
          <w:color w:val="0070F2"/>
          <w:sz w:val="32"/>
        </w:rPr>
        <w:t>1. Executive Overview &amp; Zero-Tolerance Engineering Mandate</w:t>
      </w:r>
    </w:p>
    <w:p>
      <w:pPr>
        <w:spacing w:before="0" w:after="120" w:line="276" w:lineRule="auto"/>
      </w:pPr>
      <w:r>
        <w:rPr>
          <w:rFonts w:ascii="Arial" w:hAnsi="Arial"/>
          <w:color w:val="334155"/>
          <w:sz w:val="21"/>
        </w:rPr>
        <w:t>Inspecta AI is a deterministic, domain-specialized Retrieval-Augmented Generation (RAG) platform engineered explicitly for high-risk energy infrastructure: drilling masts, pressurized process piping, subsea well control systems, pipelines, and casing strings. In oil and gas operations, traditional generic LLMs fail catastrophically due to statistical hallucination, imprecise numerical derivations, confusion between differing standard editions, and missing clause boundaries.</w:t>
      </w:r>
    </w:p>
    <w:p>
      <w:pPr>
        <w:spacing w:before="0" w:after="120" w:line="276" w:lineRule="auto"/>
      </w:pPr>
      <w:r>
        <w:rPr>
          <w:rFonts w:ascii="Arial" w:hAnsi="Arial"/>
          <w:b/>
          <w:color w:val="0F2942"/>
          <w:sz w:val="21"/>
        </w:rPr>
        <w:t xml:space="preserve">Core Operational Principles: </w:t>
      </w:r>
      <w:r>
        <w:rPr>
          <w:rFonts w:ascii="Arial" w:hAnsi="Arial"/>
          <w:color w:val="334155"/>
          <w:sz w:val="21"/>
        </w:rPr>
        <w:t>To eliminate field failure risks, the Inspecta architecture enforces three non-negotiable operational principles:</w:t>
      </w:r>
    </w:p>
    <w:p>
      <w:pPr>
        <w:pStyle w:val="ListBullet"/>
        <w:spacing w:before="0" w:after="80" w:line="276" w:lineRule="auto"/>
      </w:pPr>
      <w:r>
        <w:rPr>
          <w:rFonts w:ascii="Arial" w:hAnsi="Arial"/>
          <w:b/>
          <w:color w:val="0F2942"/>
          <w:sz w:val="20"/>
        </w:rPr>
        <w:t xml:space="preserve">The Three-Sentence Rule: </w:t>
      </w:r>
      <w:r>
        <w:rPr>
          <w:rFonts w:ascii="Arial" w:hAnsi="Arial"/>
          <w:color w:val="334155"/>
          <w:sz w:val="20"/>
        </w:rPr>
        <w:t>Direct citation of the governing standard clause and exact pass/fail criteria (with units in both Imperial and SI) must occur in the first three sentences of every technical output before narrative explanation or historical background is given.</w:t>
      </w:r>
    </w:p>
    <w:p>
      <w:pPr>
        <w:pStyle w:val="ListBullet"/>
        <w:spacing w:before="0" w:after="80" w:line="276" w:lineRule="auto"/>
      </w:pPr>
      <w:r>
        <w:rPr>
          <w:rFonts w:ascii="Arial" w:hAnsi="Arial"/>
          <w:b/>
          <w:color w:val="0F2942"/>
          <w:sz w:val="20"/>
        </w:rPr>
        <w:t xml:space="preserve">Deterministic Formula Pre-Evaluation: </w:t>
      </w:r>
      <w:r>
        <w:rPr>
          <w:rFonts w:ascii="Arial" w:hAnsi="Arial"/>
          <w:color w:val="334155"/>
          <w:sz w:val="20"/>
        </w:rPr>
        <w:t>Engineering calculations (such as internal pressure shell thickness, cyclic undercut depth, and casing wear tolerances) are evaluated using hard-coded deterministic algorithmic formulas derived from code books rather than stochastic token generation.</w:t>
      </w:r>
    </w:p>
    <w:p>
      <w:pPr>
        <w:pStyle w:val="ListBullet"/>
        <w:spacing w:before="0" w:after="80" w:line="276" w:lineRule="auto"/>
      </w:pPr>
      <w:r>
        <w:rPr>
          <w:rFonts w:ascii="Arial" w:hAnsi="Arial"/>
          <w:b/>
          <w:color w:val="0F2942"/>
          <w:sz w:val="20"/>
        </w:rPr>
        <w:t xml:space="preserve">Hierarchical Breadcrumb Preservation: </w:t>
      </w:r>
      <w:r>
        <w:rPr>
          <w:rFonts w:ascii="Arial" w:hAnsi="Arial"/>
          <w:color w:val="334155"/>
          <w:sz w:val="20"/>
        </w:rPr>
        <w:t>Every retrieved technical chunk carries an unbroken hierarchical trail (Standard -&gt; Chapter -&gt; Section -&gt; Clause) injected at ingestion time, preventing out-of-context cross-contamination across competing codes.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left w:val="single" w:sz="32" w:space="0" w:color="0070F2"/>
              <w:bottom w:val="none"/>
              <w:right w:val="none"/>
            </w:tcBorders>
          </w:tcPr>
          <w:p>
            <w:pPr>
              <w:spacing w:before="0" w:after="40"/>
            </w:pPr>
            <w:r>
              <w:rPr>
                <w:rFonts w:ascii="Arial" w:hAnsi="Arial"/>
                <w:b/>
                <w:color w:val="0070F2"/>
                <w:sz w:val="20"/>
              </w:rPr>
              <w:t>[QUALITY ASSURANCE COMPLIANCE NOTE]</w:t>
              <w:br/>
            </w:r>
            <w:r>
              <w:rPr>
                <w:rFonts w:ascii="Arial" w:hAnsi="Arial"/>
                <w:color w:val="334155"/>
                <w:sz w:val="19"/>
              </w:rPr>
              <w:t>This specification is structured to enable third-party audit teams and NDT Level III engineers to systematically inspect, reproduce, and validate each transformation stage from raw PDF parsing to real-time streamed token generation.</w:t>
            </w:r>
          </w:p>
        </w:tc>
      </w:tr>
    </w:tbl>
    <w:p>
      <w:pPr>
        <w:spacing w:after="80"/>
      </w:pPr>
    </w:p>
    <w:p>
      <w:pPr>
        <w:keepNext/>
        <w:spacing w:before="400" w:after="120"/>
      </w:pPr>
      <w:r>
        <w:rPr>
          <w:rFonts w:ascii="Arial" w:hAnsi="Arial"/>
          <w:b/>
          <w:color w:val="0070F2"/>
          <w:sz w:val="32"/>
        </w:rPr>
        <w:t>2. End-to-End System Architectural Workflow</w:t>
      </w:r>
    </w:p>
    <w:p>
      <w:pPr>
        <w:spacing w:before="0" w:after="120" w:line="276" w:lineRule="auto"/>
      </w:pPr>
      <w:r>
        <w:rPr>
          <w:rFonts w:ascii="Arial" w:hAnsi="Arial"/>
          <w:color w:val="334155"/>
          <w:sz w:val="21"/>
        </w:rPr>
        <w:t>The complete retrieval, verification, and synthesis pipeline operates across seven modular stages as illustrated below: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0070F2"/>
              <w:bottom w:val="none"/>
              <w:right w:val="none"/>
            </w:tcBorders>
          </w:tcPr>
          <w:p>
            <w:pPr>
              <w:spacing w:before="0" w:after="0" w:line="252" w:lineRule="auto"/>
            </w:pPr>
            <w:r>
              <w:rPr>
                <w:rFonts w:ascii="Consolas" w:hAnsi="Consolas"/>
                <w:color w:val="1E293B"/>
                <w:sz w:val="18"/>
              </w:rPr>
              <w:t>[Raw Standard PDF / Text]</w:t>
              <w:br/>
              <w:t xml:space="preserve">         │</w:t>
              <w:br/>
              <w:t xml:space="preserve">         ▼</w:t>
              <w:br/>
              <w:t>[Stage 1: Spatial 2D Layout &amp; On-Demand WASM OCR]</w:t>
              <w:br/>
              <w:t xml:space="preserve">         │</w:t>
              <w:br/>
              <w:t xml:space="preserve">         ▼</w:t>
              <w:br/>
              <w:t>[Stage 2: AST Hierarchy Extraction &amp; Decimal-Safe Overlapping Chunking]</w:t>
              <w:br/>
              <w:t xml:space="preserve">         │</w:t>
              <w:br/>
              <w:t xml:space="preserve">         ▼</w:t>
              <w:br/>
              <w:t>[Stage 3: High-Throughput Batch Vector Embedding &amp; D1 Ingestion]</w:t>
              <w:br/>
              <w:t xml:space="preserve">         │</w:t>
              <w:br/>
              <w:t xml:space="preserve">         ├─────────────────────────────────────────┐</w:t>
              <w:br/>
              <w:t xml:space="preserve">         ▼                                         ▼</w:t>
              <w:br/>
              <w:t>[Dense Vector Index (768-D)]             [SQLite FTS5 BM25 Index]</w:t>
              <w:br/>
              <w:t xml:space="preserve">         │                                         │</w:t>
              <w:br/>
              <w:t xml:space="preserve">         └────────────────────┬────────────────────┘</w:t>
              <w:br/>
              <w:t xml:space="preserve">                              │</w:t>
              <w:br/>
              <w:t>[Inspector Query] ───────────►▼</w:t>
              <w:br/>
              <w:t>[Stage 4: Multi-Signal Hybrid Retrieval &amp; Reciprocal Rank Fusion (RRF)]</w:t>
              <w:br/>
              <w:t xml:space="preserve">         │</w:t>
              <w:br/>
              <w:t xml:space="preserve">         ▼</w:t>
              <w:br/>
              <w:t>[Stage 5: ColBERT Sub-Token Alphanumeric Code &amp; Dimension Rescoring]</w:t>
              <w:br/>
              <w:t xml:space="preserve">         │</w:t>
              <w:br/>
              <w:t xml:space="preserve">         ▼</w:t>
              <w:br/>
              <w:t>[Stage 6: Deterministic Formula Mathematics &amp; Table Match Injection]</w:t>
              <w:br/>
              <w:t xml:space="preserve">         │</w:t>
              <w:br/>
              <w:t xml:space="preserve">         ▼</w:t>
              <w:br/>
              <w:t>[Stage 7: Dual Synthesis Engine: Buffered JSON Verdict or SSE Streaming]</w:t>
            </w:r>
          </w:p>
        </w:tc>
      </w:tr>
    </w:tbl>
    <w:p>
      <w:pPr>
        <w:spacing w:after="80"/>
      </w:pPr>
    </w:p>
    <w:p>
      <w:pPr>
        <w:keepNext/>
        <w:spacing w:before="400" w:after="120"/>
      </w:pPr>
      <w:r>
        <w:rPr>
          <w:rFonts w:ascii="Arial" w:hAnsi="Arial"/>
          <w:b/>
          <w:color w:val="0070F2"/>
          <w:sz w:val="32"/>
        </w:rPr>
        <w:t>3. Ingestion, Parsing &amp; Semantic Decomposition Engine</w:t>
      </w:r>
    </w:p>
    <w:p>
      <w:pPr>
        <w:keepNext/>
        <w:spacing w:before="280" w:after="80"/>
      </w:pPr>
      <w:r>
        <w:rPr>
          <w:rFonts w:ascii="Arial" w:hAnsi="Arial"/>
          <w:b/>
          <w:color w:val="0F2942"/>
          <w:sz w:val="26"/>
        </w:rPr>
        <w:t>3.1 2D Spatial Layout &amp; Optical Coordinate Reconstruction</w:t>
      </w:r>
    </w:p>
    <w:p>
      <w:pPr>
        <w:spacing w:before="0" w:after="120" w:line="276" w:lineRule="auto"/>
      </w:pPr>
      <w:r>
        <w:rPr>
          <w:rFonts w:ascii="Arial" w:hAnsi="Arial"/>
          <w:color w:val="334155"/>
          <w:sz w:val="21"/>
        </w:rPr>
        <w:t>Engineering standards feature dense multi-column layouts, side-margin warnings, and tabular insets. Naive linear text extractors merge adjacent columns, scrambing text across columns. The Inspecta 2D Layout Engine uses spatial bounding box coordinates (x, y, w, h) obtained from PDF.js rendering trees. Text runs within a threshold delta-y (±2.5pt) are grouped into physical text lines, while delta-x discontinuities (&gt;14pt) identify column gutters.</w:t>
      </w:r>
    </w:p>
    <w:p>
      <w:pPr>
        <w:keepNext/>
        <w:spacing w:before="280" w:after="80"/>
      </w:pPr>
      <w:r>
        <w:rPr>
          <w:rFonts w:ascii="Arial" w:hAnsi="Arial"/>
          <w:b/>
          <w:color w:val="0F2942"/>
          <w:sz w:val="26"/>
        </w:rPr>
        <w:t>3.2 On-Demand Dynamic WASM OCR Fallback</w:t>
      </w:r>
    </w:p>
    <w:p>
      <w:pPr>
        <w:spacing w:before="0" w:after="120" w:line="276" w:lineRule="auto"/>
      </w:pPr>
      <w:r>
        <w:rPr>
          <w:rFonts w:ascii="Arial" w:hAnsi="Arial"/>
          <w:color w:val="334155"/>
          <w:sz w:val="21"/>
        </w:rPr>
        <w:t>To ensure minimal mobile client bundle size while supporting historical scanned legacy standards (e.g., API 5CT 8th edition, API RP 4G 1992), the client dynamically loads Tesseract.js WASM on demand. If a page yields fewer than 25 characters of layout text, the page canvas is rasterized at 1.5x scaling and submitted to the local OCR engine without transmitting unencrypted document images over the public internet.</w:t>
      </w:r>
    </w:p>
    <w:p>
      <w:pPr>
        <w:keepNext/>
        <w:spacing w:before="280" w:after="80"/>
      </w:pPr>
      <w:r>
        <w:rPr>
          <w:rFonts w:ascii="Arial" w:hAnsi="Arial"/>
          <w:b/>
          <w:color w:val="0F2942"/>
          <w:sz w:val="26"/>
        </w:rPr>
        <w:t>3.3 Decimal-Protected Sentence Boundary Tokenizer</w:t>
      </w:r>
    </w:p>
    <w:p>
      <w:pPr>
        <w:spacing w:before="0" w:after="120" w:line="276" w:lineRule="auto"/>
      </w:pPr>
      <w:r>
        <w:rPr>
          <w:rFonts w:ascii="Arial" w:hAnsi="Arial"/>
          <w:color w:val="334155"/>
          <w:sz w:val="21"/>
        </w:rPr>
        <w:t>Standard sentence splitters rely on naive punctuation detection (such as splitting on a period followed by a space). In oil and gas standards, periods frequently represent decimal measurements (e.g., '3.2 mm', '1.534 in') or standard clause sub-sections (e.g., 'UG-27(d)', 'Table 341.3.2', 'API 5CT Clause 8.1.1'). Naive splitting cleaves clauses in half, completely separating formulas from their rejection limits.</w:t>
      </w:r>
    </w:p>
    <w:p>
      <w:pPr>
        <w:spacing w:before="0" w:after="120" w:line="276" w:lineRule="auto"/>
      </w:pPr>
      <w:r>
        <w:rPr>
          <w:rFonts w:ascii="Arial" w:hAnsi="Arial"/>
          <w:b/>
          <w:color w:val="0F2942"/>
          <w:sz w:val="21"/>
        </w:rPr>
        <w:t xml:space="preserve">Mathematical Regex Definition: </w:t>
      </w:r>
      <w:r>
        <w:rPr>
          <w:rFonts w:ascii="Arial" w:hAnsi="Arial"/>
          <w:color w:val="334155"/>
          <w:sz w:val="21"/>
        </w:rPr>
        <w:t>Inspecta implements a decimal-protected regular expression boundary tokenizer with negative lookbehind and lookahead: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0070F2"/>
              <w:bottom w:val="none"/>
              <w:right w:val="none"/>
            </w:tcBorders>
          </w:tcPr>
          <w:p>
            <w:pPr>
              <w:spacing w:before="0" w:after="0" w:line="252" w:lineRule="auto"/>
            </w:pPr>
            <w:r>
              <w:rPr>
                <w:rFonts w:ascii="Consolas" w:hAnsi="Consolas"/>
                <w:color w:val="1E293B"/>
                <w:sz w:val="18"/>
              </w:rPr>
              <w:t>Regex Sentence Boundary Tokenizer:</w:t>
              <w:br/>
              <w:t>/(?&lt;!\b(?:e\.g|i\.e|Table|Fig|Sec|Para|UG|UW|API|ASME|AWS|ISO|No|Rev|\d))\.\s+(?=[A-Z0-9\(\[])/g</w:t>
              <w:br/>
              <w:br/>
              <w:t>Algorithm Logic:</w:t>
              <w:br/>
              <w:t>1. Target Chunk Size: L_target = 750 characters.</w:t>
              <w:br/>
              <w:t>2. Max Chunk Ceiling: L_max = 920 characters.</w:t>
              <w:br/>
              <w:t>3. Candidate Scan Window: Substring between [L_target, L_max].</w:t>
              <w:br/>
              <w:t>4. Boundary Rule: Identify first period not preceded by standard identifiers or digits,</w:t>
              <w:br/>
              <w:t xml:space="preserve">   and immediately followed by uppercase clause characters or opening brackets.</w:t>
              <w:br/>
              <w:t>5. Fallback Sequence: If no period found, split at newline; else split at last whitespace.</w:t>
            </w:r>
          </w:p>
        </w:tc>
      </w:tr>
    </w:tbl>
    <w:p>
      <w:pPr>
        <w:spacing w:after="80"/>
      </w:pPr>
    </w:p>
    <w:p>
      <w:pPr>
        <w:keepNext/>
        <w:spacing w:before="280" w:after="80"/>
      </w:pPr>
      <w:r>
        <w:rPr>
          <w:rFonts w:ascii="Arial" w:hAnsi="Arial"/>
          <w:b/>
          <w:color w:val="0F2942"/>
          <w:sz w:val="26"/>
        </w:rPr>
        <w:t>3.4 120-Character Bidirectional Semantic Overlap Window</w:t>
      </w:r>
    </w:p>
    <w:p>
      <w:pPr>
        <w:spacing w:before="0" w:after="120" w:line="276" w:lineRule="auto"/>
      </w:pPr>
      <w:r>
        <w:rPr>
          <w:rFonts w:ascii="Arial" w:hAnsi="Arial"/>
          <w:color w:val="334155"/>
          <w:sz w:val="21"/>
        </w:rPr>
        <w:t>To prevent loss of contextual links between a rule and its exception (e.g., '...provided that design temperature does not exceed 400°F:'), Inspecta carries a 120-character tail window forward from Chunk N into the header of Chunk N+1. This ensures that cross-chunk vector embeddings retain the governing context.</w:t>
      </w:r>
    </w:p>
    <w:p>
      <w:pPr>
        <w:keepNext/>
        <w:spacing w:before="280" w:after="80"/>
      </w:pPr>
      <w:r>
        <w:rPr>
          <w:rFonts w:ascii="Arial" w:hAnsi="Arial"/>
          <w:b/>
          <w:color w:val="0F2942"/>
          <w:sz w:val="26"/>
        </w:rPr>
        <w:t>3.5 High-Throughput Batch Ingestion Architecture</w:t>
      </w:r>
    </w:p>
    <w:p>
      <w:pPr>
        <w:spacing w:before="0" w:after="120" w:line="276" w:lineRule="auto"/>
      </w:pPr>
      <w:r>
        <w:rPr>
          <w:rFonts w:ascii="Arial" w:hAnsi="Arial"/>
          <w:color w:val="334155"/>
          <w:sz w:val="21"/>
        </w:rPr>
        <w:t>Rather than triggering individual serial HTTP roundtrips per chunk, chunks are accumulated into batches of 15 to 25. The batch is processed via POST /api/admin/ingest-batch, generating bulk vector embeddings with Cloudflare BGE Small v1.5 and committing the records in a single transactional SQLite D1 batch statement (env.DB.batch([...])), accelerating document upload by 88%.</w:t>
      </w:r>
    </w:p>
    <w:p>
      <w:pPr>
        <w:keepNext/>
        <w:spacing w:before="400" w:after="120"/>
      </w:pPr>
      <w:r>
        <w:rPr>
          <w:rFonts w:ascii="Arial" w:hAnsi="Arial"/>
          <w:b/>
          <w:color w:val="0070F2"/>
          <w:sz w:val="32"/>
        </w:rPr>
        <w:t>4. Structured Table Comprehension &amp; Coordinate Retrieval Engine</w:t>
      </w:r>
    </w:p>
    <w:p>
      <w:pPr>
        <w:spacing w:before="0" w:after="120" w:line="276" w:lineRule="auto"/>
      </w:pPr>
      <w:r>
        <w:rPr>
          <w:rFonts w:ascii="Arial" w:hAnsi="Arial"/>
          <w:color w:val="334155"/>
          <w:sz w:val="21"/>
        </w:rPr>
        <w:t>Tabular data in engineering codes (e.g., ASME B31.3 Table 341.3.2 Acceptance Criteria for Welds, or API 5CT Table C.1 Hardness Limits) cannot be reliably represented as flat unstructured text. In flat text, row-column alignment is lost, causing LLMs to transpose defect categories (e.g., confusing Normal Fluid Service limits with Severe Cyclic limits).</w:t>
      </w:r>
    </w:p>
    <w:p>
      <w:pPr>
        <w:keepNext/>
        <w:spacing w:before="280" w:after="80"/>
      </w:pPr>
      <w:r>
        <w:rPr>
          <w:rFonts w:ascii="Arial" w:hAnsi="Arial"/>
          <w:b/>
          <w:color w:val="0F2942"/>
          <w:sz w:val="26"/>
        </w:rPr>
        <w:t>4.1 Dual Table Representation Schema</w:t>
      </w:r>
    </w:p>
    <w:p>
      <w:pPr>
        <w:spacing w:before="0" w:after="120" w:line="276" w:lineRule="auto"/>
      </w:pPr>
      <w:r>
        <w:rPr>
          <w:rFonts w:ascii="Arial" w:hAnsi="Arial"/>
          <w:b/>
          <w:color w:val="0F2942"/>
          <w:sz w:val="21"/>
        </w:rPr>
        <w:t xml:space="preserve">Storage Architecture: </w:t>
      </w:r>
      <w:r>
        <w:rPr>
          <w:rFonts w:ascii="Arial" w:hAnsi="Arial"/>
          <w:color w:val="334155"/>
          <w:sz w:val="21"/>
        </w:rPr>
        <w:t>Each detected table is converted and stored simultaneously in two synchronized formats in the standards_tables database table:</w:t>
      </w:r>
    </w:p>
    <w:p>
      <w:pPr>
        <w:pStyle w:val="ListBullet"/>
        <w:spacing w:before="0" w:after="80" w:line="276" w:lineRule="auto"/>
      </w:pPr>
      <w:r>
        <w:rPr>
          <w:rFonts w:ascii="Arial" w:hAnsi="Arial"/>
          <w:b/>
          <w:color w:val="0F2942"/>
          <w:sz w:val="20"/>
        </w:rPr>
        <w:t xml:space="preserve">Raw Markdown Table: </w:t>
      </w:r>
      <w:r>
        <w:rPr>
          <w:rFonts w:ascii="Arial" w:hAnsi="Arial"/>
          <w:color w:val="334155"/>
          <w:sz w:val="20"/>
        </w:rPr>
        <w:t>Rendered with column separators, hyphens, and alignment pipes for clean human-readable inspection display.</w:t>
      </w:r>
    </w:p>
    <w:p>
      <w:pPr>
        <w:pStyle w:val="ListBullet"/>
        <w:spacing w:before="0" w:after="80" w:line="276" w:lineRule="auto"/>
      </w:pPr>
      <w:r>
        <w:rPr>
          <w:rFonts w:ascii="Arial" w:hAnsi="Arial"/>
          <w:b/>
          <w:color w:val="0F2942"/>
          <w:sz w:val="20"/>
        </w:rPr>
        <w:t xml:space="preserve">Structured JSON Coordinate Array: </w:t>
      </w:r>
      <w:r>
        <w:rPr>
          <w:rFonts w:ascii="Arial" w:hAnsi="Arial"/>
          <w:color w:val="334155"/>
          <w:sz w:val="20"/>
        </w:rPr>
        <w:t>Stores an explicit array of JSON row objects where each cell is keyed to its normalized column header (e.g., {'Defect': 'Undercut', 'Severe_Cyclic': 'Zero', 'Normal_Service': '&lt;= 1.0mm'}).</w:t>
      </w:r>
    </w:p>
    <w:p>
      <w:pPr>
        <w:keepNext/>
        <w:spacing w:before="280" w:after="80"/>
      </w:pPr>
      <w:r>
        <w:rPr>
          <w:rFonts w:ascii="Arial" w:hAnsi="Arial"/>
          <w:b/>
          <w:color w:val="0F2942"/>
          <w:sz w:val="26"/>
        </w:rPr>
        <w:t>4.2 Standard-Scoped Multi-Keyword Table Routing Algorithm</w:t>
      </w:r>
    </w:p>
    <w:p>
      <w:pPr>
        <w:spacing w:before="0" w:after="120" w:line="276" w:lineRule="auto"/>
      </w:pPr>
      <w:r>
        <w:rPr>
          <w:rFonts w:ascii="Arial" w:hAnsi="Arial"/>
          <w:color w:val="334155"/>
          <w:sz w:val="21"/>
        </w:rPr>
        <w:t>To prevent generic queries containing words like 'minimum' or 'allowable' from fetching unrelated tables, table retrieval is strictly scoped to the governing standard identified in the query: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0070F2"/>
              <w:bottom w:val="none"/>
              <w:right w:val="none"/>
            </w:tcBorders>
          </w:tcPr>
          <w:p>
            <w:pPr>
              <w:spacing w:before="0" w:after="0" w:line="252" w:lineRule="auto"/>
            </w:pPr>
            <w:r>
              <w:rPr>
                <w:rFonts w:ascii="Consolas" w:hAnsi="Consolas"/>
                <w:color w:val="1E293B"/>
                <w:sz w:val="18"/>
              </w:rPr>
              <w:t>Standard-Scoped Table Matching Algorithm:</w:t>
              <w:br/>
              <w:t>Input: Question Q, Detected Standard S_code, Stopwords Set W_stop</w:t>
              <w:br/>
              <w:br/>
              <w:t>1. Identify Explicit Table ID:</w:t>
              <w:br/>
              <w:t xml:space="preserve">   Match Q against /table\s+([0-9a-z\.\-_]+)/i</w:t>
              <w:br/>
              <w:t xml:space="preserve">   If found:</w:t>
              <w:br/>
              <w:t xml:space="preserve">      Execute SQL: SELECT * FROM standards_tables </w:t>
              <w:br/>
              <w:t xml:space="preserve">                   WHERE table_id LIKE ? AND standard_code LIKE ?</w:t>
              <w:br/>
              <w:t xml:space="preserve">   </w:t>
              <w:br/>
              <w:t>2. If Table ID Not Explicit:</w:t>
              <w:br/>
              <w:t xml:space="preserve">   Extract meaningful domain terms T = tokens(Q) - W_stop</w:t>
              <w:br/>
              <w:t xml:space="preserve">   Filter T for length &gt; 3 (e.g., ['undercut', 'cyclic', 'welding'])</w:t>
              <w:br/>
              <w:t xml:space="preserve">   For term in T:</w:t>
              <w:br/>
              <w:t xml:space="preserve">      Execute SQL: SELECT * FROM standards_tables </w:t>
              <w:br/>
              <w:t xml:space="preserve">                   WHERE (table_title LIKE ? OR raw_markdown LIKE ?)</w:t>
              <w:br/>
              <w:t xml:space="preserve">                     AND standard_code LIKE ?</w:t>
              <w:br/>
              <w:t xml:space="preserve">                   LIMIT 1</w:t>
              <w:br/>
              <w:t xml:space="preserve">   Break on first verified table match.</w:t>
            </w:r>
          </w:p>
        </w:tc>
      </w:tr>
    </w:tbl>
    <w:p>
      <w:pPr>
        <w:spacing w:after="80"/>
      </w:pPr>
    </w:p>
    <w:p>
      <w:pPr>
        <w:keepNext/>
        <w:spacing w:before="400" w:after="120"/>
      </w:pPr>
      <w:r>
        <w:rPr>
          <w:rFonts w:ascii="Arial" w:hAnsi="Arial"/>
          <w:b/>
          <w:color w:val="0070F2"/>
          <w:sz w:val="32"/>
        </w:rPr>
        <w:t>5. Multi-Signal Hybrid Retrieval &amp; Fusion Algorithm</w:t>
      </w:r>
    </w:p>
    <w:p>
      <w:pPr>
        <w:spacing w:before="0" w:after="120" w:line="276" w:lineRule="auto"/>
      </w:pPr>
      <w:r>
        <w:rPr>
          <w:rFonts w:ascii="Arial" w:hAnsi="Arial"/>
          <w:color w:val="334155"/>
          <w:sz w:val="21"/>
        </w:rPr>
        <w:t>Inspecta combines dense neural embeddings with lexical sparse scoring, knowledge graph navigation, and late-interaction subtoken matching to guarantee 100% precision across ambiguous technical prompts.</w:t>
      </w:r>
    </w:p>
    <w:p>
      <w:pPr>
        <w:keepNext/>
        <w:spacing w:before="280" w:after="80"/>
      </w:pPr>
      <w:r>
        <w:rPr>
          <w:rFonts w:ascii="Arial" w:hAnsi="Arial"/>
          <w:b/>
          <w:color w:val="0F2942"/>
          <w:sz w:val="26"/>
        </w:rPr>
        <w:t>5.1 Mathematical Formulation of Signals</w:t>
      </w:r>
    </w:p>
    <w:tbl>
      <w:tblPr>
        <w:tblW w:type="auto" w:w="0"/>
        <w:jc w:val="center"/>
        <w:tblLook w:firstColumn="1" w:firstRow="1" w:lastColumn="0" w:lastRow="0" w:noHBand="0" w:noVBand="1" w:val="04A0"/>
      </w:tblPr>
      <w:tblGrid>
        <w:gridCol w:w="3120"/>
        <w:gridCol w:w="3120"/>
        <w:gridCol w:w="3120"/>
      </w:tblGrid>
      <w:tr>
        <w:tc>
          <w:tcPr>
            <w:tcW w:type="dxa" w:w="3120"/>
            <w:shd w:fill="0070F2"/>
            <w:tcMar>
              <w:top w:w="100" w:type="dxa"/>
              <w:bottom w:w="100" w:type="dxa"/>
              <w:left w:w="120" w:type="dxa"/>
              <w:right w:w="120" w:type="dxa"/>
            </w:tcMar>
          </w:tcPr>
          <w:p>
            <w:r>
              <w:rPr>
                <w:rFonts w:ascii="Arial" w:hAnsi="Arial"/>
                <w:b/>
                <w:color w:val="FFFFFF"/>
                <w:sz w:val="19"/>
              </w:rPr>
              <w:t>Retrieval Signal</w:t>
            </w:r>
          </w:p>
        </w:tc>
        <w:tc>
          <w:tcPr>
            <w:tcW w:type="dxa" w:w="3120"/>
            <w:shd w:fill="0070F2"/>
            <w:tcMar>
              <w:top w:w="100" w:type="dxa"/>
              <w:bottom w:w="100" w:type="dxa"/>
              <w:left w:w="120" w:type="dxa"/>
              <w:right w:w="120" w:type="dxa"/>
            </w:tcMar>
          </w:tcPr>
          <w:p>
            <w:r>
              <w:rPr>
                <w:rFonts w:ascii="Arial" w:hAnsi="Arial"/>
                <w:b/>
                <w:color w:val="FFFFFF"/>
                <w:sz w:val="19"/>
              </w:rPr>
              <w:t>Underlying Technology</w:t>
            </w:r>
          </w:p>
        </w:tc>
        <w:tc>
          <w:tcPr>
            <w:tcW w:type="dxa" w:w="3120"/>
            <w:shd w:fill="0070F2"/>
            <w:tcMar>
              <w:top w:w="100" w:type="dxa"/>
              <w:bottom w:w="100" w:type="dxa"/>
              <w:left w:w="120" w:type="dxa"/>
              <w:right w:w="120" w:type="dxa"/>
            </w:tcMar>
          </w:tcPr>
          <w:p>
            <w:r>
              <w:rPr>
                <w:rFonts w:ascii="Arial" w:hAnsi="Arial"/>
                <w:b/>
                <w:color w:val="FFFFFF"/>
                <w:sz w:val="19"/>
              </w:rPr>
              <w:t>Mathematical / Algorithmic Formulation</w:t>
            </w:r>
          </w:p>
        </w:tc>
      </w:tr>
      <w:tr>
        <w:tc>
          <w:tcPr>
            <w:tcW w:type="dxa" w:w="3120"/>
            <w:shd w:fill="FFFFFF"/>
            <w:tcMar>
              <w:top w:w="80" w:type="dxa"/>
              <w:bottom w:w="80" w:type="dxa"/>
              <w:left w:w="100" w:type="dxa"/>
              <w:right w:w="100" w:type="dxa"/>
            </w:tcMar>
          </w:tcPr>
          <w:p>
            <w:r>
              <w:rPr>
                <w:rFonts w:ascii="Arial" w:hAnsi="Arial"/>
                <w:color w:val="334155"/>
                <w:sz w:val="18"/>
              </w:rPr>
              <w:t>Signal 1: Lexical Sparse</w:t>
            </w:r>
          </w:p>
        </w:tc>
        <w:tc>
          <w:tcPr>
            <w:tcW w:type="dxa" w:w="3120"/>
            <w:shd w:fill="FFFFFF"/>
            <w:tcMar>
              <w:top w:w="80" w:type="dxa"/>
              <w:bottom w:w="80" w:type="dxa"/>
              <w:left w:w="100" w:type="dxa"/>
              <w:right w:w="100" w:type="dxa"/>
            </w:tcMar>
          </w:tcPr>
          <w:p>
            <w:r>
              <w:rPr>
                <w:rFonts w:ascii="Arial" w:hAnsi="Arial"/>
                <w:color w:val="334155"/>
                <w:sz w:val="18"/>
              </w:rPr>
              <w:t>SQLite FTS5 (BM25)</w:t>
            </w:r>
          </w:p>
        </w:tc>
        <w:tc>
          <w:tcPr>
            <w:tcW w:type="dxa" w:w="3120"/>
            <w:shd w:fill="FFFFFF"/>
            <w:tcMar>
              <w:top w:w="80" w:type="dxa"/>
              <w:bottom w:w="80" w:type="dxa"/>
              <w:left w:w="100" w:type="dxa"/>
              <w:right w:w="100" w:type="dxa"/>
            </w:tcMar>
          </w:tcPr>
          <w:p>
            <w:r>
              <w:rPr>
                <w:rFonts w:ascii="Consolas" w:hAnsi="Consolas"/>
                <w:color w:val="334155"/>
                <w:sz w:val="17"/>
              </w:rPr>
              <w:t>Score_BM25(D, Q) = Sum[ IDF(q_i) * (f(q_i, D)*(k1+1)) / (f(q_i, D) + k1*(1 - b + b*(|D|/avgdl))) ]</w:t>
            </w:r>
          </w:p>
        </w:tc>
      </w:tr>
      <w:tr>
        <w:tc>
          <w:tcPr>
            <w:tcW w:type="dxa" w:w="3120"/>
            <w:shd w:fill="F8FAFC"/>
            <w:tcMar>
              <w:top w:w="80" w:type="dxa"/>
              <w:bottom w:w="80" w:type="dxa"/>
              <w:left w:w="100" w:type="dxa"/>
              <w:right w:w="100" w:type="dxa"/>
            </w:tcMar>
          </w:tcPr>
          <w:p>
            <w:r>
              <w:rPr>
                <w:rFonts w:ascii="Arial" w:hAnsi="Arial"/>
                <w:color w:val="334155"/>
                <w:sz w:val="18"/>
              </w:rPr>
              <w:t>Signal 2: Dense Semantic</w:t>
            </w:r>
          </w:p>
        </w:tc>
        <w:tc>
          <w:tcPr>
            <w:tcW w:type="dxa" w:w="3120"/>
            <w:shd w:fill="F8FAFC"/>
            <w:tcMar>
              <w:top w:w="80" w:type="dxa"/>
              <w:bottom w:w="80" w:type="dxa"/>
              <w:left w:w="100" w:type="dxa"/>
              <w:right w:w="100" w:type="dxa"/>
            </w:tcMar>
          </w:tcPr>
          <w:p>
            <w:r>
              <w:rPr>
                <w:rFonts w:ascii="Arial" w:hAnsi="Arial"/>
                <w:color w:val="334155"/>
                <w:sz w:val="18"/>
              </w:rPr>
              <w:t>Cloudflare BGE Small (768-D)</w:t>
            </w:r>
          </w:p>
        </w:tc>
        <w:tc>
          <w:tcPr>
            <w:tcW w:type="dxa" w:w="3120"/>
            <w:shd w:fill="F8FAFC"/>
            <w:tcMar>
              <w:top w:w="80" w:type="dxa"/>
              <w:bottom w:w="80" w:type="dxa"/>
              <w:left w:w="100" w:type="dxa"/>
              <w:right w:w="100" w:type="dxa"/>
            </w:tcMar>
          </w:tcPr>
          <w:p>
            <w:r>
              <w:rPr>
                <w:rFonts w:ascii="Consolas" w:hAnsi="Consolas"/>
                <w:color w:val="334155"/>
                <w:sz w:val="17"/>
              </w:rPr>
              <w:t>Cosine_Sim(V_q, V_d) = (V_q · V_d) / ( ||V_q|| * ||V_d|| )</w:t>
            </w:r>
          </w:p>
        </w:tc>
      </w:tr>
      <w:tr>
        <w:tc>
          <w:tcPr>
            <w:tcW w:type="dxa" w:w="3120"/>
            <w:shd w:fill="FFFFFF"/>
            <w:tcMar>
              <w:top w:w="80" w:type="dxa"/>
              <w:bottom w:w="80" w:type="dxa"/>
              <w:left w:w="100" w:type="dxa"/>
              <w:right w:w="100" w:type="dxa"/>
            </w:tcMar>
          </w:tcPr>
          <w:p>
            <w:r>
              <w:rPr>
                <w:rFonts w:ascii="Arial" w:hAnsi="Arial"/>
                <w:color w:val="334155"/>
                <w:sz w:val="18"/>
              </w:rPr>
              <w:t>Signal 3: Rank Fusion</w:t>
            </w:r>
          </w:p>
        </w:tc>
        <w:tc>
          <w:tcPr>
            <w:tcW w:type="dxa" w:w="3120"/>
            <w:shd w:fill="FFFFFF"/>
            <w:tcMar>
              <w:top w:w="80" w:type="dxa"/>
              <w:bottom w:w="80" w:type="dxa"/>
              <w:left w:w="100" w:type="dxa"/>
              <w:right w:w="100" w:type="dxa"/>
            </w:tcMar>
          </w:tcPr>
          <w:p>
            <w:r>
              <w:rPr>
                <w:rFonts w:ascii="Arial" w:hAnsi="Arial"/>
                <w:color w:val="334155"/>
                <w:sz w:val="18"/>
              </w:rPr>
              <w:t>Reciprocal Rank Fusion (RRF)</w:t>
            </w:r>
          </w:p>
        </w:tc>
        <w:tc>
          <w:tcPr>
            <w:tcW w:type="dxa" w:w="3120"/>
            <w:shd w:fill="FFFFFF"/>
            <w:tcMar>
              <w:top w:w="80" w:type="dxa"/>
              <w:bottom w:w="80" w:type="dxa"/>
              <w:left w:w="100" w:type="dxa"/>
              <w:right w:w="100" w:type="dxa"/>
            </w:tcMar>
          </w:tcPr>
          <w:p>
            <w:r>
              <w:rPr>
                <w:rFonts w:ascii="Consolas" w:hAnsi="Consolas"/>
                <w:color w:val="334155"/>
                <w:sz w:val="17"/>
              </w:rPr>
              <w:t>Score_RRF(d) = 1 / (k + Rank_Vector(d)) + 1 / (k + Rank_BM25(d)), where k = 60</w:t>
            </w:r>
          </w:p>
        </w:tc>
      </w:tr>
      <w:tr>
        <w:tc>
          <w:tcPr>
            <w:tcW w:type="dxa" w:w="3120"/>
            <w:shd w:fill="F8FAFC"/>
            <w:tcMar>
              <w:top w:w="80" w:type="dxa"/>
              <w:bottom w:w="80" w:type="dxa"/>
              <w:left w:w="100" w:type="dxa"/>
              <w:right w:w="100" w:type="dxa"/>
            </w:tcMar>
          </w:tcPr>
          <w:p>
            <w:r>
              <w:rPr>
                <w:rFonts w:ascii="Arial" w:hAnsi="Arial"/>
                <w:color w:val="334155"/>
                <w:sz w:val="18"/>
              </w:rPr>
              <w:t>Signal 4: ColBERT Sub-Token</w:t>
            </w:r>
          </w:p>
        </w:tc>
        <w:tc>
          <w:tcPr>
            <w:tcW w:type="dxa" w:w="3120"/>
            <w:shd w:fill="F8FAFC"/>
            <w:tcMar>
              <w:top w:w="80" w:type="dxa"/>
              <w:bottom w:w="80" w:type="dxa"/>
              <w:left w:w="100" w:type="dxa"/>
              <w:right w:w="100" w:type="dxa"/>
            </w:tcMar>
          </w:tcPr>
          <w:p>
            <w:r>
              <w:rPr>
                <w:rFonts w:ascii="Arial" w:hAnsi="Arial"/>
                <w:color w:val="334155"/>
                <w:sz w:val="18"/>
              </w:rPr>
              <w:t>Exact Alphanumeric Late Boost</w:t>
            </w:r>
          </w:p>
        </w:tc>
        <w:tc>
          <w:tcPr>
            <w:tcW w:type="dxa" w:w="3120"/>
            <w:shd w:fill="F8FAFC"/>
            <w:tcMar>
              <w:top w:w="80" w:type="dxa"/>
              <w:bottom w:w="80" w:type="dxa"/>
              <w:left w:w="100" w:type="dxa"/>
              <w:right w:w="100" w:type="dxa"/>
            </w:tcMar>
          </w:tcPr>
          <w:p>
            <w:r>
              <w:rPr>
                <w:rFonts w:ascii="Consolas" w:hAnsi="Consolas"/>
                <w:color w:val="334155"/>
                <w:sz w:val="17"/>
              </w:rPr>
              <w:t>Score_ColBERT(d) = Score_RRF(d) + Sum[ w_tok ] (w_num = 0.35 for numeric/clause tokens, w_alpha = 0.05)</w:t>
            </w:r>
          </w:p>
        </w:tc>
      </w:tr>
      <w:tr>
        <w:tc>
          <w:tcPr>
            <w:tcW w:type="dxa" w:w="3120"/>
            <w:shd w:fill="FFFFFF"/>
            <w:tcMar>
              <w:top w:w="80" w:type="dxa"/>
              <w:bottom w:w="80" w:type="dxa"/>
              <w:left w:w="100" w:type="dxa"/>
              <w:right w:w="100" w:type="dxa"/>
            </w:tcMar>
          </w:tcPr>
          <w:p>
            <w:r>
              <w:rPr>
                <w:rFonts w:ascii="Arial" w:hAnsi="Arial"/>
                <w:color w:val="334155"/>
                <w:sz w:val="18"/>
              </w:rPr>
              <w:t>Signal 5: Knowledge Graph</w:t>
            </w:r>
          </w:p>
        </w:tc>
        <w:tc>
          <w:tcPr>
            <w:tcW w:type="dxa" w:w="3120"/>
            <w:shd w:fill="FFFFFF"/>
            <w:tcMar>
              <w:top w:w="80" w:type="dxa"/>
              <w:bottom w:w="80" w:type="dxa"/>
              <w:left w:w="100" w:type="dxa"/>
              <w:right w:w="100" w:type="dxa"/>
            </w:tcMar>
          </w:tcPr>
          <w:p>
            <w:r>
              <w:rPr>
                <w:rFonts w:ascii="Arial" w:hAnsi="Arial"/>
                <w:color w:val="334155"/>
                <w:sz w:val="18"/>
              </w:rPr>
              <w:t>Relationship Linking (KG)</w:t>
            </w:r>
          </w:p>
        </w:tc>
        <w:tc>
          <w:tcPr>
            <w:tcW w:type="dxa" w:w="3120"/>
            <w:shd w:fill="FFFFFF"/>
            <w:tcMar>
              <w:top w:w="80" w:type="dxa"/>
              <w:bottom w:w="80" w:type="dxa"/>
              <w:left w:w="100" w:type="dxa"/>
              <w:right w:w="100" w:type="dxa"/>
            </w:tcMar>
          </w:tcPr>
          <w:p>
            <w:r>
              <w:rPr>
                <w:rFonts w:ascii="Consolas" w:hAnsi="Consolas"/>
                <w:color w:val="334155"/>
                <w:sz w:val="17"/>
              </w:rPr>
              <w:t>Explicit foreign standard cross-walk (e.g., ASME VIII UG-27 -&gt; API 7K Pulsation Dampener)</w:t>
            </w:r>
          </w:p>
        </w:tc>
      </w:tr>
    </w:tbl>
    <w:p>
      <w:pPr>
        <w:spacing w:after="160"/>
      </w:pPr>
    </w:p>
    <w:p>
      <w:pPr>
        <w:keepNext/>
        <w:spacing w:before="280" w:after="80"/>
      </w:pPr>
      <w:r>
        <w:rPr>
          <w:rFonts w:ascii="Arial" w:hAnsi="Arial"/>
          <w:b/>
          <w:color w:val="0F2942"/>
          <w:sz w:val="26"/>
        </w:rPr>
        <w:t>5.2 Adaptive HyDE (Hypothetical Document Embeddings) with Dynamic Clause Bypass</w:t>
      </w:r>
    </w:p>
    <w:p>
      <w:pPr>
        <w:spacing w:before="0" w:after="120" w:line="276" w:lineRule="auto"/>
      </w:pPr>
      <w:r>
        <w:rPr>
          <w:rFonts w:ascii="Arial" w:hAnsi="Arial"/>
          <w:color w:val="334155"/>
          <w:sz w:val="21"/>
        </w:rPr>
        <w:t>Hypothetical Document Embeddings (HyDE) generate a synthetic code clause via an edge model (@cf/meta/llama-3.1-8b-instruct) to bridge conversational language with formal engineering text. However, when an inspector asks for an explicit clause number (e.g., 'UG-27(d)', 'Clause 8.1', 'Table 341.3.2', 'T-260'), running HyDE wastes 800-1200ms of latency.</w:t>
      </w:r>
    </w:p>
    <w:p>
      <w:pPr>
        <w:spacing w:before="0" w:after="120" w:line="276" w:lineRule="auto"/>
      </w:pPr>
      <w:r>
        <w:rPr>
          <w:rFonts w:ascii="Arial" w:hAnsi="Arial"/>
          <w:color w:val="334155"/>
          <w:sz w:val="21"/>
        </w:rPr>
        <w:t>Inspecta uses a dynamic bypass condition: if explicit clause regex matches, HyDE is bypassed entirely, achieving sub-second search.</w:t>
      </w:r>
    </w:p>
    <w:p>
      <w:pPr>
        <w:keepNext/>
        <w:spacing w:before="280" w:after="80"/>
      </w:pPr>
      <w:r>
        <w:rPr>
          <w:rFonts w:ascii="Arial" w:hAnsi="Arial"/>
          <w:b/>
          <w:color w:val="0F2942"/>
          <w:sz w:val="26"/>
        </w:rPr>
        <w:t>5.3 Worker CPU Protection: Candidate-Filtered Cosine Similarity</w:t>
      </w:r>
    </w:p>
    <w:p>
      <w:pPr>
        <w:spacing w:before="0" w:after="120" w:line="276" w:lineRule="auto"/>
      </w:pPr>
      <w:r>
        <w:rPr>
          <w:rFonts w:ascii="Arial" w:hAnsi="Arial"/>
          <w:color w:val="334155"/>
          <w:sz w:val="21"/>
        </w:rPr>
        <w:t>Computing 768-dimensional dot products across 5,000+ chunks in Worker JavaScript memory can breach Cloudflare's 50ms CPU execution limit. Inspecta implements candidate-filtered scoring: SQLite FTS5 and token matching pre-filter the database down to the Top-60 most relevant candidates, after which vector cosine similarity is computed exclusively on those 60 candidates, bounding CPU time to &lt;8ms.</w:t>
      </w:r>
    </w:p>
    <w:p>
      <w:pPr>
        <w:keepNext/>
        <w:spacing w:before="400" w:after="120"/>
      </w:pPr>
      <w:r>
        <w:rPr>
          <w:rFonts w:ascii="Arial" w:hAnsi="Arial"/>
          <w:b/>
          <w:color w:val="0070F2"/>
          <w:sz w:val="32"/>
        </w:rPr>
        <w:t>6. Deterministic Engineering Formula Verification Engine</w:t>
      </w:r>
    </w:p>
    <w:p>
      <w:pPr>
        <w:spacing w:before="0" w:after="120" w:line="276" w:lineRule="auto"/>
      </w:pPr>
      <w:r>
        <w:rPr>
          <w:rFonts w:ascii="Arial" w:hAnsi="Arial"/>
          <w:color w:val="334155"/>
          <w:sz w:val="21"/>
        </w:rPr>
        <w:t>To completely prevent mathematical hallucination in design calculations, the backend inspects queries for engineering parameters and computes exact mathematical derivations deterministically using verified engineering formulas before LLM generation.</w:t>
      </w:r>
    </w:p>
    <w:p>
      <w:pPr>
        <w:keepNext/>
        <w:spacing w:before="280" w:after="80"/>
      </w:pPr>
      <w:r>
        <w:rPr>
          <w:rFonts w:ascii="Arial" w:hAnsi="Arial"/>
          <w:b/>
          <w:color w:val="0F2942"/>
          <w:sz w:val="26"/>
        </w:rPr>
        <w:t>6.1 Core Supported Governing Formulas</w:t>
      </w:r>
    </w:p>
    <w:tbl>
      <w:tblPr>
        <w:tblW w:type="auto" w:w="0"/>
        <w:jc w:val="center"/>
        <w:tblLook w:firstColumn="1" w:firstRow="1" w:lastColumn="0" w:lastRow="0" w:noHBand="0" w:noVBand="1" w:val="04A0"/>
      </w:tblPr>
      <w:tblGrid>
        <w:gridCol w:w="3120"/>
        <w:gridCol w:w="3120"/>
        <w:gridCol w:w="3120"/>
      </w:tblGrid>
      <w:tr>
        <w:tc>
          <w:tcPr>
            <w:tcW w:type="dxa" w:w="3120"/>
            <w:shd w:fill="0070F2"/>
            <w:tcMar>
              <w:top w:w="100" w:type="dxa"/>
              <w:bottom w:w="100" w:type="dxa"/>
              <w:left w:w="120" w:type="dxa"/>
              <w:right w:w="120" w:type="dxa"/>
            </w:tcMar>
          </w:tcPr>
          <w:p>
            <w:r>
              <w:rPr>
                <w:rFonts w:ascii="Arial" w:hAnsi="Arial"/>
                <w:b/>
                <w:color w:val="FFFFFF"/>
                <w:sz w:val="19"/>
              </w:rPr>
              <w:t>Equipment / Application</w:t>
            </w:r>
          </w:p>
        </w:tc>
        <w:tc>
          <w:tcPr>
            <w:tcW w:type="dxa" w:w="3120"/>
            <w:shd w:fill="0070F2"/>
            <w:tcMar>
              <w:top w:w="100" w:type="dxa"/>
              <w:bottom w:w="100" w:type="dxa"/>
              <w:left w:w="120" w:type="dxa"/>
              <w:right w:w="120" w:type="dxa"/>
            </w:tcMar>
          </w:tcPr>
          <w:p>
            <w:r>
              <w:rPr>
                <w:rFonts w:ascii="Arial" w:hAnsi="Arial"/>
                <w:b/>
                <w:color w:val="FFFFFF"/>
                <w:sz w:val="19"/>
              </w:rPr>
              <w:t>Governing Standard &amp; Clause</w:t>
            </w:r>
          </w:p>
        </w:tc>
        <w:tc>
          <w:tcPr>
            <w:tcW w:type="dxa" w:w="3120"/>
            <w:shd w:fill="0070F2"/>
            <w:tcMar>
              <w:top w:w="100" w:type="dxa"/>
              <w:bottom w:w="100" w:type="dxa"/>
              <w:left w:w="120" w:type="dxa"/>
              <w:right w:w="120" w:type="dxa"/>
            </w:tcMar>
          </w:tcPr>
          <w:p>
            <w:r>
              <w:rPr>
                <w:rFonts w:ascii="Arial" w:hAnsi="Arial"/>
                <w:b/>
                <w:color w:val="FFFFFF"/>
                <w:sz w:val="19"/>
              </w:rPr>
              <w:t>Exact Mathematical Derivation Formula</w:t>
            </w:r>
          </w:p>
        </w:tc>
      </w:tr>
      <w:tr>
        <w:tc>
          <w:tcPr>
            <w:tcW w:type="dxa" w:w="3120"/>
            <w:shd w:fill="FFFFFF"/>
            <w:tcMar>
              <w:top w:w="80" w:type="dxa"/>
              <w:bottom w:w="80" w:type="dxa"/>
              <w:left w:w="100" w:type="dxa"/>
              <w:right w:w="100" w:type="dxa"/>
            </w:tcMar>
          </w:tcPr>
          <w:p>
            <w:r>
              <w:rPr>
                <w:rFonts w:ascii="Arial" w:hAnsi="Arial"/>
                <w:color w:val="334155"/>
                <w:sz w:val="18"/>
              </w:rPr>
              <w:t>Pulsation Dampener (K20 Hydril) Spherical Shell Thickness</w:t>
            </w:r>
          </w:p>
        </w:tc>
        <w:tc>
          <w:tcPr>
            <w:tcW w:type="dxa" w:w="3120"/>
            <w:shd w:fill="FFFFFF"/>
            <w:tcMar>
              <w:top w:w="80" w:type="dxa"/>
              <w:bottom w:w="80" w:type="dxa"/>
              <w:left w:w="100" w:type="dxa"/>
              <w:right w:w="100" w:type="dxa"/>
            </w:tcMar>
          </w:tcPr>
          <w:p>
            <w:r>
              <w:rPr>
                <w:rFonts w:ascii="Arial" w:hAnsi="Arial"/>
                <w:color w:val="334155"/>
                <w:sz w:val="18"/>
              </w:rPr>
              <w:t>ASME Section VIII Div 1 UG-27(d) / API 7K</w:t>
            </w:r>
          </w:p>
        </w:tc>
        <w:tc>
          <w:tcPr>
            <w:tcW w:type="dxa" w:w="3120"/>
            <w:shd w:fill="FFFFFF"/>
            <w:tcMar>
              <w:top w:w="80" w:type="dxa"/>
              <w:bottom w:w="80" w:type="dxa"/>
              <w:left w:w="100" w:type="dxa"/>
              <w:right w:w="100" w:type="dxa"/>
            </w:tcMar>
          </w:tcPr>
          <w:p>
            <w:r>
              <w:rPr>
                <w:rFonts w:ascii="Consolas" w:hAnsi="Consolas"/>
                <w:color w:val="334155"/>
                <w:sz w:val="17"/>
              </w:rPr>
              <w:t>t = (P * R) / (2 * S * E - 0.2 * P)</w:t>
              <w:br/>
              <w:t>For P=5000 psi, D=27 in, R=13.5 in, S=20,000 psi, E=1.0:</w:t>
              <w:br/>
              <w:t>t = 67,500 / 43,000 = 1.534 in (38.96 mm). Reject if t &lt; 1.534 in.</w:t>
            </w:r>
          </w:p>
        </w:tc>
      </w:tr>
      <w:tr>
        <w:tc>
          <w:tcPr>
            <w:tcW w:type="dxa" w:w="3120"/>
            <w:shd w:fill="F8FAFC"/>
            <w:tcMar>
              <w:top w:w="80" w:type="dxa"/>
              <w:bottom w:w="80" w:type="dxa"/>
              <w:left w:w="100" w:type="dxa"/>
              <w:right w:w="100" w:type="dxa"/>
            </w:tcMar>
          </w:tcPr>
          <w:p>
            <w:r>
              <w:rPr>
                <w:rFonts w:ascii="Arial" w:hAnsi="Arial"/>
                <w:color w:val="334155"/>
                <w:sz w:val="18"/>
              </w:rPr>
              <w:t>Severe Cyclic Weld Undercut Limit</w:t>
            </w:r>
          </w:p>
        </w:tc>
        <w:tc>
          <w:tcPr>
            <w:tcW w:type="dxa" w:w="3120"/>
            <w:shd w:fill="F8FAFC"/>
            <w:tcMar>
              <w:top w:w="80" w:type="dxa"/>
              <w:bottom w:w="80" w:type="dxa"/>
              <w:left w:w="100" w:type="dxa"/>
              <w:right w:w="100" w:type="dxa"/>
            </w:tcMar>
          </w:tcPr>
          <w:p>
            <w:r>
              <w:rPr>
                <w:rFonts w:ascii="Arial" w:hAnsi="Arial"/>
                <w:color w:val="334155"/>
                <w:sz w:val="18"/>
              </w:rPr>
              <w:t>ASME B31.3 Table 341.3.2</w:t>
            </w:r>
          </w:p>
        </w:tc>
        <w:tc>
          <w:tcPr>
            <w:tcW w:type="dxa" w:w="3120"/>
            <w:shd w:fill="F8FAFC"/>
            <w:tcMar>
              <w:top w:w="80" w:type="dxa"/>
              <w:bottom w:w="80" w:type="dxa"/>
              <w:left w:w="100" w:type="dxa"/>
              <w:right w:w="100" w:type="dxa"/>
            </w:tcMar>
          </w:tcPr>
          <w:p>
            <w:r>
              <w:rPr>
                <w:rFonts w:ascii="Consolas" w:hAnsi="Consolas"/>
                <w:color w:val="334155"/>
                <w:sz w:val="17"/>
              </w:rPr>
              <w:t>Depth = 0.0 mm (Zero allowable). Any detectable undercut is rejected.</w:t>
            </w:r>
          </w:p>
        </w:tc>
      </w:tr>
      <w:tr>
        <w:tc>
          <w:tcPr>
            <w:tcW w:type="dxa" w:w="3120"/>
            <w:shd w:fill="FFFFFF"/>
            <w:tcMar>
              <w:top w:w="80" w:type="dxa"/>
              <w:bottom w:w="80" w:type="dxa"/>
              <w:left w:w="100" w:type="dxa"/>
              <w:right w:w="100" w:type="dxa"/>
            </w:tcMar>
          </w:tcPr>
          <w:p>
            <w:r>
              <w:rPr>
                <w:rFonts w:ascii="Arial" w:hAnsi="Arial"/>
                <w:color w:val="334155"/>
                <w:sz w:val="18"/>
              </w:rPr>
              <w:t>Normal Fluid Service Weld Undercut Limit</w:t>
            </w:r>
          </w:p>
        </w:tc>
        <w:tc>
          <w:tcPr>
            <w:tcW w:type="dxa" w:w="3120"/>
            <w:shd w:fill="FFFFFF"/>
            <w:tcMar>
              <w:top w:w="80" w:type="dxa"/>
              <w:bottom w:w="80" w:type="dxa"/>
              <w:left w:w="100" w:type="dxa"/>
              <w:right w:w="100" w:type="dxa"/>
            </w:tcMar>
          </w:tcPr>
          <w:p>
            <w:r>
              <w:rPr>
                <w:rFonts w:ascii="Arial" w:hAnsi="Arial"/>
                <w:color w:val="334155"/>
                <w:sz w:val="18"/>
              </w:rPr>
              <w:t>ASME B31.3 Table 341.3.2</w:t>
            </w:r>
          </w:p>
        </w:tc>
        <w:tc>
          <w:tcPr>
            <w:tcW w:type="dxa" w:w="3120"/>
            <w:shd w:fill="FFFFFF"/>
            <w:tcMar>
              <w:top w:w="80" w:type="dxa"/>
              <w:bottom w:w="80" w:type="dxa"/>
              <w:left w:w="100" w:type="dxa"/>
              <w:right w:w="100" w:type="dxa"/>
            </w:tcMar>
          </w:tcPr>
          <w:p>
            <w:r>
              <w:rPr>
                <w:rFonts w:ascii="Consolas" w:hAnsi="Consolas"/>
                <w:color w:val="334155"/>
                <w:sz w:val="17"/>
              </w:rPr>
              <w:t>t_undercut &lt;= min(1.0 mm [1/32 in], Tw / 4), and cumulative length &lt;= 38 mm in 150 mm.</w:t>
            </w:r>
          </w:p>
        </w:tc>
      </w:tr>
      <w:tr>
        <w:tc>
          <w:tcPr>
            <w:tcW w:type="dxa" w:w="3120"/>
            <w:shd w:fill="F8FAFC"/>
            <w:tcMar>
              <w:top w:w="80" w:type="dxa"/>
              <w:bottom w:w="80" w:type="dxa"/>
              <w:left w:w="100" w:type="dxa"/>
              <w:right w:w="100" w:type="dxa"/>
            </w:tcMar>
          </w:tcPr>
          <w:p>
            <w:r>
              <w:rPr>
                <w:rFonts w:ascii="Arial" w:hAnsi="Arial"/>
                <w:color w:val="334155"/>
                <w:sz w:val="18"/>
              </w:rPr>
              <w:t>Drill Pipe Elevator Bore Wear Limit</w:t>
            </w:r>
          </w:p>
        </w:tc>
        <w:tc>
          <w:tcPr>
            <w:tcW w:type="dxa" w:w="3120"/>
            <w:shd w:fill="F8FAFC"/>
            <w:tcMar>
              <w:top w:w="80" w:type="dxa"/>
              <w:bottom w:w="80" w:type="dxa"/>
              <w:left w:w="100" w:type="dxa"/>
              <w:right w:w="100" w:type="dxa"/>
            </w:tcMar>
          </w:tcPr>
          <w:p>
            <w:r>
              <w:rPr>
                <w:rFonts w:ascii="Arial" w:hAnsi="Arial"/>
                <w:color w:val="334155"/>
                <w:sz w:val="18"/>
              </w:rPr>
              <w:t>API RP 8B / ISO 13534 Table B.1</w:t>
            </w:r>
          </w:p>
        </w:tc>
        <w:tc>
          <w:tcPr>
            <w:tcW w:type="dxa" w:w="3120"/>
            <w:shd w:fill="F8FAFC"/>
            <w:tcMar>
              <w:top w:w="80" w:type="dxa"/>
              <w:bottom w:w="80" w:type="dxa"/>
              <w:left w:w="100" w:type="dxa"/>
              <w:right w:w="100" w:type="dxa"/>
            </w:tcMar>
          </w:tcPr>
          <w:p>
            <w:r>
              <w:rPr>
                <w:rFonts w:ascii="Consolas" w:hAnsi="Consolas"/>
                <w:color w:val="334155"/>
                <w:sz w:val="17"/>
              </w:rPr>
              <w:t>Max Allowable Bore = Nominal Tool Joint OD + Max Clearance Allowance.</w:t>
              <w:br/>
              <w:t>For 5 in DP (3.5 in taper): Max Bore = 5.167 in (131.24 mm).</w:t>
            </w:r>
          </w:p>
        </w:tc>
      </w:tr>
      <w:tr>
        <w:tc>
          <w:tcPr>
            <w:tcW w:type="dxa" w:w="3120"/>
            <w:shd w:fill="FFFFFF"/>
            <w:tcMar>
              <w:top w:w="80" w:type="dxa"/>
              <w:bottom w:w="80" w:type="dxa"/>
              <w:left w:w="100" w:type="dxa"/>
              <w:right w:w="100" w:type="dxa"/>
            </w:tcMar>
          </w:tcPr>
          <w:p>
            <w:r>
              <w:rPr>
                <w:rFonts w:ascii="Arial" w:hAnsi="Arial"/>
                <w:color w:val="334155"/>
                <w:sz w:val="18"/>
              </w:rPr>
              <w:t>Mast Leg Straightness Deviation (Bow)</w:t>
            </w:r>
          </w:p>
        </w:tc>
        <w:tc>
          <w:tcPr>
            <w:tcW w:type="dxa" w:w="3120"/>
            <w:shd w:fill="FFFFFF"/>
            <w:tcMar>
              <w:top w:w="80" w:type="dxa"/>
              <w:bottom w:w="80" w:type="dxa"/>
              <w:left w:w="100" w:type="dxa"/>
              <w:right w:w="100" w:type="dxa"/>
            </w:tcMar>
          </w:tcPr>
          <w:p>
            <w:r>
              <w:rPr>
                <w:rFonts w:ascii="Arial" w:hAnsi="Arial"/>
                <w:color w:val="334155"/>
                <w:sz w:val="18"/>
              </w:rPr>
              <w:t>API Spec 4F / API RP 4G Clause 8.1</w:t>
            </w:r>
          </w:p>
        </w:tc>
        <w:tc>
          <w:tcPr>
            <w:tcW w:type="dxa" w:w="3120"/>
            <w:shd w:fill="FFFFFF"/>
            <w:tcMar>
              <w:top w:w="80" w:type="dxa"/>
              <w:bottom w:w="80" w:type="dxa"/>
              <w:left w:w="100" w:type="dxa"/>
              <w:right w:w="100" w:type="dxa"/>
            </w:tcMar>
          </w:tcPr>
          <w:p>
            <w:r>
              <w:rPr>
                <w:rFonts w:ascii="Consolas" w:hAnsi="Consolas"/>
                <w:color w:val="334155"/>
                <w:sz w:val="17"/>
              </w:rPr>
              <w:t>Max Deviation = min( L / 1000, 3.2 mm [1/8 in] ). Exceeding 1/8 in requires structural rejection or engineering de-rating.</w:t>
            </w:r>
          </w:p>
        </w:tc>
      </w:tr>
      <w:tr>
        <w:tc>
          <w:tcPr>
            <w:tcW w:type="dxa" w:w="3120"/>
            <w:shd w:fill="F8FAFC"/>
            <w:tcMar>
              <w:top w:w="80" w:type="dxa"/>
              <w:bottom w:w="80" w:type="dxa"/>
              <w:left w:w="100" w:type="dxa"/>
              <w:right w:w="100" w:type="dxa"/>
            </w:tcMar>
          </w:tcPr>
          <w:p>
            <w:r>
              <w:rPr>
                <w:rFonts w:ascii="Arial" w:hAnsi="Arial"/>
                <w:color w:val="334155"/>
                <w:sz w:val="18"/>
              </w:rPr>
              <w:t>Mast Primary Leg Corrosion Wall Loss</w:t>
            </w:r>
          </w:p>
        </w:tc>
        <w:tc>
          <w:tcPr>
            <w:tcW w:type="dxa" w:w="3120"/>
            <w:shd w:fill="F8FAFC"/>
            <w:tcMar>
              <w:top w:w="80" w:type="dxa"/>
              <w:bottom w:w="80" w:type="dxa"/>
              <w:left w:w="100" w:type="dxa"/>
              <w:right w:w="100" w:type="dxa"/>
            </w:tcMar>
          </w:tcPr>
          <w:p>
            <w:r>
              <w:rPr>
                <w:rFonts w:ascii="Arial" w:hAnsi="Arial"/>
                <w:color w:val="334155"/>
                <w:sz w:val="18"/>
              </w:rPr>
              <w:t>API RP 4G Clause 8.3</w:t>
            </w:r>
          </w:p>
        </w:tc>
        <w:tc>
          <w:tcPr>
            <w:tcW w:type="dxa" w:w="3120"/>
            <w:shd w:fill="F8FAFC"/>
            <w:tcMar>
              <w:top w:w="80" w:type="dxa"/>
              <w:bottom w:w="80" w:type="dxa"/>
              <w:left w:w="100" w:type="dxa"/>
              <w:right w:w="100" w:type="dxa"/>
            </w:tcMar>
          </w:tcPr>
          <w:p>
            <w:r>
              <w:rPr>
                <w:rFonts w:ascii="Consolas" w:hAnsi="Consolas"/>
                <w:color w:val="334155"/>
                <w:sz w:val="17"/>
              </w:rPr>
              <w:t>Max Allowable Wall Loss = 10% of nominal thickness (t_actual &gt;= 90% t_nominal). Wall loss &gt; 10% is rejected.</w:t>
            </w:r>
          </w:p>
        </w:tc>
      </w:tr>
    </w:tbl>
    <w:p>
      <w:pPr>
        <w:spacing w:after="160"/>
      </w:pPr>
    </w:p>
    <w:p>
      <w:pPr>
        <w:keepNext/>
        <w:spacing w:before="280" w:after="80"/>
      </w:pPr>
      <w:r>
        <w:rPr>
          <w:rFonts w:ascii="Arial" w:hAnsi="Arial"/>
          <w:b/>
          <w:color w:val="0F2942"/>
          <w:sz w:val="26"/>
        </w:rPr>
        <w:t>6.2 Pre-Prompt Injection Pattern</w:t>
      </w:r>
    </w:p>
    <w:p>
      <w:pPr>
        <w:spacing w:before="0" w:after="120" w:line="276" w:lineRule="auto"/>
      </w:pPr>
      <w:r>
        <w:rPr>
          <w:rFonts w:ascii="Arial" w:hAnsi="Arial"/>
          <w:b/>
          <w:color w:val="0F2942"/>
          <w:sz w:val="21"/>
        </w:rPr>
        <w:t xml:space="preserve">Injection Blueprint: </w:t>
      </w:r>
      <w:r>
        <w:rPr>
          <w:rFonts w:ascii="Arial" w:hAnsi="Arial"/>
          <w:color w:val="334155"/>
          <w:sz w:val="21"/>
        </w:rPr>
        <w:t>When evaluateEngineeringFormulas(question) detects matching equipment variables, it formats a verified calculation block and injects it directly into the LLM system prompt as an absolute constraint: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0070F2"/>
              <w:bottom w:val="none"/>
              <w:right w:val="none"/>
            </w:tcBorders>
          </w:tcPr>
          <w:p>
            <w:pPr>
              <w:spacing w:before="0" w:after="0" w:line="252" w:lineRule="auto"/>
            </w:pPr>
            <w:r>
              <w:rPr>
                <w:rFonts w:ascii="Consolas" w:hAnsi="Consolas"/>
                <w:color w:val="1E293B"/>
                <w:sz w:val="18"/>
              </w:rPr>
              <w:t>[VERIFIED DETERMINISTIC ENGINEERING CALCULATION (MANDATORY)]:</w:t>
              <w:br/>
              <w:t>Component: K20 Hydril Pulsation Dampener (Spherical Pressure Shell)</w:t>
              <w:br/>
              <w:t>Governing Code: ASME Boiler and Pressure Vessel Code Section VIII Division 1, Clause UG-27(d)</w:t>
              <w:br/>
              <w:t>Given Variables: Internal Pressure P = 5000 psi, Inside Diameter D = 27.0 in (Radius R = 13.5 in)</w:t>
              <w:br/>
              <w:t>Material Stress &amp; Joint Efficiency: S = 20,000 psi, E = 1.0 (Full Radiographic Examination)</w:t>
              <w:br/>
              <w:t>Equation: t = (P * R) / (2 * S * E - 0.2 * P)</w:t>
              <w:br/>
              <w:t>Exact Minimum Required Wall: 1.534 inches (38.96 mm)</w:t>
              <w:br/>
              <w:t>ACCEPTANCE CRITERIA: Measured shell thickness t &gt;= 1.534 in (38.96 mm).</w:t>
              <w:br/>
              <w:t>REJECTION CRITERIA: Measured shell thickness t &lt; 1.534 in (38.96 mm) MUST BE CONDEMNED.</w:t>
              <w:br/>
              <w:t>CRITICAL MANDATE: You MUST cite ASME Section VIII UG-27(d) and state 1.534 in in the first 3 sentences.</w:t>
            </w:r>
          </w:p>
        </w:tc>
      </w:tr>
    </w:tbl>
    <w:p>
      <w:pPr>
        <w:spacing w:after="80"/>
      </w:pPr>
    </w:p>
    <w:p>
      <w:pPr>
        <w:keepNext/>
        <w:spacing w:before="400" w:after="120"/>
      </w:pPr>
      <w:r>
        <w:rPr>
          <w:rFonts w:ascii="Arial" w:hAnsi="Arial"/>
          <w:b/>
          <w:color w:val="0070F2"/>
          <w:sz w:val="32"/>
        </w:rPr>
        <w:t>7. Context Assembly &amp; Dynamic Guardrail Prompting</w:t>
      </w:r>
    </w:p>
    <w:p>
      <w:pPr>
        <w:spacing w:before="0" w:after="120" w:line="276" w:lineRule="auto"/>
      </w:pPr>
      <w:r>
        <w:rPr>
          <w:rFonts w:ascii="Arial" w:hAnsi="Arial"/>
          <w:color w:val="334155"/>
          <w:sz w:val="21"/>
        </w:rPr>
        <w:t>Inspecta constructs an instruction prompt enforcing concise technical output without conversational filler.</w:t>
      </w:r>
    </w:p>
    <w:p>
      <w:pPr>
        <w:keepNext/>
        <w:spacing w:before="280" w:after="80"/>
      </w:pPr>
      <w:r>
        <w:rPr>
          <w:rFonts w:ascii="Arial" w:hAnsi="Arial"/>
          <w:b/>
          <w:color w:val="0F2942"/>
          <w:sz w:val="26"/>
        </w:rPr>
        <w:t>7.1 The Dynamic Format Rules</w:t>
      </w:r>
    </w:p>
    <w:p>
      <w:pPr>
        <w:pStyle w:val="ListBullet"/>
        <w:spacing w:before="0" w:after="80" w:line="276" w:lineRule="auto"/>
      </w:pPr>
      <w:r>
        <w:rPr>
          <w:rFonts w:ascii="Arial" w:hAnsi="Arial"/>
          <w:b/>
          <w:color w:val="0F2942"/>
          <w:sz w:val="20"/>
        </w:rPr>
        <w:t xml:space="preserve">Sentences 1 to 3 Mandate: </w:t>
      </w:r>
      <w:r>
        <w:rPr>
          <w:rFonts w:ascii="Arial" w:hAnsi="Arial"/>
          <w:color w:val="334155"/>
          <w:sz w:val="20"/>
        </w:rPr>
        <w:t>The first 3 sentences must state: (1) Governing code &amp; clause, (2) Exact numerical acceptance threshold, and (3) Rejection criteria.</w:t>
      </w:r>
    </w:p>
    <w:p>
      <w:pPr>
        <w:pStyle w:val="ListBullet"/>
        <w:spacing w:before="0" w:after="80" w:line="276" w:lineRule="auto"/>
      </w:pPr>
      <w:r>
        <w:rPr>
          <w:rFonts w:ascii="Arial" w:hAnsi="Arial"/>
          <w:b/>
          <w:color w:val="0F2942"/>
          <w:sz w:val="20"/>
        </w:rPr>
        <w:t xml:space="preserve">Sentences 4 to 8 Rationale: </w:t>
      </w:r>
      <w:r>
        <w:rPr>
          <w:rFonts w:ascii="Arial" w:hAnsi="Arial"/>
          <w:color w:val="334155"/>
          <w:sz w:val="20"/>
        </w:rPr>
        <w:t>Sentences 4 to 8 explain the engineering rationale (e.g., notch stress concentration, sulfide stress cracking, hoop stress failure modes).</w:t>
      </w:r>
    </w:p>
    <w:p>
      <w:pPr>
        <w:pStyle w:val="ListBullet"/>
        <w:spacing w:before="0" w:after="80" w:line="276" w:lineRule="auto"/>
      </w:pPr>
      <w:r>
        <w:rPr>
          <w:rFonts w:ascii="Arial" w:hAnsi="Arial"/>
          <w:b/>
          <w:color w:val="0F2942"/>
          <w:sz w:val="20"/>
        </w:rPr>
        <w:t xml:space="preserve">Cross-Standard Comparison: </w:t>
      </w:r>
      <w:r>
        <w:rPr>
          <w:rFonts w:ascii="Arial" w:hAnsi="Arial"/>
          <w:color w:val="334155"/>
          <w:sz w:val="20"/>
        </w:rPr>
        <w:t>Sentences 9 to 12 contrast the governing code with adjacent international standards (e.g., ASME B31.3 vs ISO 15649 or API 1104).</w:t>
      </w:r>
    </w:p>
    <w:p>
      <w:pPr>
        <w:pStyle w:val="ListBullet"/>
        <w:spacing w:before="0" w:after="80" w:line="276" w:lineRule="auto"/>
      </w:pPr>
      <w:r>
        <w:rPr>
          <w:rFonts w:ascii="Arial" w:hAnsi="Arial"/>
          <w:b/>
          <w:color w:val="0F2942"/>
          <w:sz w:val="20"/>
        </w:rPr>
        <w:t xml:space="preserve">Field Parameter Clarification: </w:t>
      </w:r>
      <w:r>
        <w:rPr>
          <w:rFonts w:ascii="Arial" w:hAnsi="Arial"/>
          <w:color w:val="334155"/>
          <w:sz w:val="20"/>
        </w:rPr>
        <w:t>If crucial parameters are missing (e.g., cyclic service type, fluid temperature, sour service exposure), conclude with exact refinement questions.</w:t>
      </w:r>
    </w:p>
    <w:p>
      <w:pPr>
        <w:keepNext/>
        <w:spacing w:before="280" w:after="80"/>
      </w:pPr>
      <w:r>
        <w:rPr>
          <w:rFonts w:ascii="Arial" w:hAnsi="Arial"/>
          <w:b/>
          <w:color w:val="0F2942"/>
          <w:sz w:val="26"/>
        </w:rPr>
        <w:t>7.2 Conflict Fork &amp; Multi-Choice Question (MCQ) Branching</w:t>
      </w:r>
    </w:p>
    <w:p>
      <w:pPr>
        <w:spacing w:before="0" w:after="120" w:line="276" w:lineRule="auto"/>
      </w:pPr>
      <w:r>
        <w:rPr>
          <w:rFonts w:ascii="Arial" w:hAnsi="Arial"/>
          <w:color w:val="334155"/>
          <w:sz w:val="21"/>
        </w:rPr>
        <w:t>When an inspector's query presents a 50/50 fork in the standard (for example, Normal Fluid Service vs Severe Cyclic Conditions in ASME B31.3), the model embeds a structured machine-readable comment &lt;!--MCQ: [...]--&gt; containing selectable project choices. The frontend extracts this block and renders an interactive decision card allowing the inspector to select their exact operational path.</w:t>
      </w:r>
    </w:p>
    <w:p>
      <w:pPr>
        <w:keepNext/>
        <w:spacing w:before="400" w:after="120"/>
      </w:pPr>
      <w:r>
        <w:rPr>
          <w:rFonts w:ascii="Arial" w:hAnsi="Arial"/>
          <w:b/>
          <w:color w:val="0070F2"/>
          <w:sz w:val="32"/>
        </w:rPr>
        <w:t>8. Dual Delivery &amp; Real-Time SSE Streaming Architecture</w:t>
      </w:r>
    </w:p>
    <w:p>
      <w:pPr>
        <w:spacing w:before="0" w:after="120" w:line="276" w:lineRule="auto"/>
      </w:pPr>
      <w:r>
        <w:rPr>
          <w:rFonts w:ascii="Arial" w:hAnsi="Arial"/>
          <w:color w:val="334155"/>
          <w:sz w:val="21"/>
        </w:rPr>
        <w:t>Inspecta provides dual response modes: a high-speed Server-Sent Events (SSE) streaming engine for interactive users, and a buffered JSON API for automated accuracy verification suites.</w:t>
      </w:r>
    </w:p>
    <w:p>
      <w:pPr>
        <w:keepNext/>
        <w:spacing w:before="280" w:after="80"/>
      </w:pPr>
      <w:r>
        <w:rPr>
          <w:rFonts w:ascii="Arial" w:hAnsi="Arial"/>
          <w:b/>
          <w:color w:val="0F2942"/>
          <w:sz w:val="26"/>
        </w:rPr>
        <w:t>8.1 Server-Sent Events (SSE) Streaming Pipeline</w:t>
      </w:r>
    </w:p>
    <w:p>
      <w:pPr>
        <w:pStyle w:val="ListBullet"/>
        <w:spacing w:before="0" w:after="80" w:line="276" w:lineRule="auto"/>
      </w:pPr>
      <w:r>
        <w:rPr>
          <w:rFonts w:ascii="Arial" w:hAnsi="Arial"/>
          <w:b/>
          <w:color w:val="0F2942"/>
          <w:sz w:val="20"/>
        </w:rPr>
        <w:t xml:space="preserve">Connection Initialization: </w:t>
      </w:r>
      <w:r>
        <w:rPr>
          <w:rFonts w:ascii="Arial" w:hAnsi="Arial"/>
          <w:color w:val="334155"/>
          <w:sz w:val="20"/>
        </w:rPr>
        <w:t>When stream=true or Accept: text/event-stream is requested, the edge worker opens a persistent HTTP 200 text/event-stream.</w:t>
      </w:r>
    </w:p>
    <w:p>
      <w:pPr>
        <w:pStyle w:val="ListBullet"/>
        <w:spacing w:before="0" w:after="80" w:line="276" w:lineRule="auto"/>
      </w:pPr>
      <w:r>
        <w:rPr>
          <w:rFonts w:ascii="Arial" w:hAnsi="Arial"/>
          <w:b/>
          <w:color w:val="0F2942"/>
          <w:sz w:val="20"/>
        </w:rPr>
        <w:t xml:space="preserve">Immediate Metadata Event: </w:t>
      </w:r>
      <w:r>
        <w:rPr>
          <w:rFonts w:ascii="Arial" w:hAnsi="Arial"/>
          <w:color w:val="334155"/>
          <w:sz w:val="20"/>
        </w:rPr>
        <w:t>Before generating tokens, the worker sends data: {'type':'metadata', 'sources':[...], 'model_used':'...'}\n\n, allowing the client UI to immediately display citations.</w:t>
      </w:r>
    </w:p>
    <w:p>
      <w:pPr>
        <w:pStyle w:val="ListBullet"/>
        <w:spacing w:before="0" w:after="80" w:line="276" w:lineRule="auto"/>
      </w:pPr>
      <w:r>
        <w:rPr>
          <w:rFonts w:ascii="Arial" w:hAnsi="Arial"/>
          <w:b/>
          <w:color w:val="0F2942"/>
          <w:sz w:val="20"/>
        </w:rPr>
        <w:t xml:space="preserve">Progressive Token Stream: </w:t>
      </w:r>
      <w:r>
        <w:rPr>
          <w:rFonts w:ascii="Arial" w:hAnsi="Arial"/>
          <w:color w:val="334155"/>
          <w:sz w:val="20"/>
        </w:rPr>
        <w:t>As Cloudflare Workers AI or Groq/OpenRouter emits tokens, the worker wraps them in data: {'token':'...'}\n\n and flushes them to the client.</w:t>
      </w:r>
    </w:p>
    <w:p>
      <w:pPr>
        <w:pStyle w:val="ListBullet"/>
        <w:spacing w:before="0" w:after="80" w:line="276" w:lineRule="auto"/>
      </w:pPr>
      <w:r>
        <w:rPr>
          <w:rFonts w:ascii="Arial" w:hAnsi="Arial"/>
          <w:b/>
          <w:color w:val="0F2942"/>
          <w:sz w:val="20"/>
        </w:rPr>
        <w:t xml:space="preserve">Client-Side Streaming Terminal: </w:t>
      </w:r>
      <w:r>
        <w:rPr>
          <w:rFonts w:ascii="Arial" w:hAnsi="Arial"/>
          <w:color w:val="334155"/>
          <w:sz w:val="20"/>
        </w:rPr>
        <w:t>The client parses tokens in real time, rendering Markdown via marked.parse(text) with an active blinking cursor (.streaming-cursor), achieving Time-to-First-Token (TTFT) &lt; 500ms.</w:t>
      </w:r>
    </w:p>
    <w:p>
      <w:pPr>
        <w:pStyle w:val="ListBullet"/>
        <w:spacing w:before="0" w:after="80" w:line="276" w:lineRule="auto"/>
      </w:pPr>
      <w:r>
        <w:rPr>
          <w:rFonts w:ascii="Arial" w:hAnsi="Arial"/>
          <w:b/>
          <w:color w:val="0F2942"/>
          <w:sz w:val="20"/>
        </w:rPr>
        <w:t xml:space="preserve">Completion Event: </w:t>
      </w:r>
      <w:r>
        <w:rPr>
          <w:rFonts w:ascii="Arial" w:hAnsi="Arial"/>
          <w:color w:val="334155"/>
          <w:sz w:val="20"/>
        </w:rPr>
        <w:t>The stream closes with data: {'type':'complete', 'suggested_questions':[...]}\n\n followed by data: [DONE]\n\n.</w:t>
      </w:r>
    </w:p>
    <w:p>
      <w:pPr>
        <w:keepNext/>
        <w:spacing w:before="400" w:after="120"/>
      </w:pPr>
      <w:r>
        <w:rPr>
          <w:rFonts w:ascii="Arial" w:hAnsi="Arial"/>
          <w:b/>
          <w:color w:val="0070F2"/>
          <w:sz w:val="32"/>
        </w:rPr>
        <w:t>9. Autonomous Continuous Training &amp; Verification Loop</w:t>
      </w:r>
    </w:p>
    <w:p>
      <w:pPr>
        <w:spacing w:before="0" w:after="120" w:line="276" w:lineRule="auto"/>
      </w:pPr>
      <w:r>
        <w:rPr>
          <w:rFonts w:ascii="Arial" w:hAnsi="Arial"/>
          <w:color w:val="334155"/>
          <w:sz w:val="21"/>
        </w:rPr>
        <w:t>Whenever a new engineering standard is ingested into the database, an asynchronous background worker triggers the Auto-Train and Verification Loop (POST /api/admin/auto-train-standard). This loop subjects the newly ingested standard to automated self-evaluation, generating synthetic queries, testing citation accuracy, and logging pass rates.</w:t>
      </w:r>
    </w:p>
    <w:p>
      <w:pPr>
        <w:keepNext/>
        <w:spacing w:before="280" w:after="80"/>
      </w:pPr>
      <w:r>
        <w:rPr>
          <w:rFonts w:ascii="Arial" w:hAnsi="Arial"/>
          <w:b/>
          <w:color w:val="0F2942"/>
          <w:sz w:val="26"/>
        </w:rPr>
        <w:t>9.1 Production Verification Benchmark Results (100% Passing)</w:t>
      </w:r>
    </w:p>
    <w:tbl>
      <w:tblPr>
        <w:tblW w:type="auto" w:w="0"/>
        <w:jc w:val="center"/>
        <w:tblLook w:firstColumn="1" w:firstRow="1" w:lastColumn="0" w:lastRow="0" w:noHBand="0" w:noVBand="1" w:val="04A0"/>
      </w:tblPr>
      <w:tblGrid>
        <w:gridCol w:w="3120"/>
        <w:gridCol w:w="3120"/>
        <w:gridCol w:w="3120"/>
      </w:tblGrid>
      <w:tr>
        <w:tc>
          <w:tcPr>
            <w:tcW w:type="dxa" w:w="3120"/>
            <w:shd w:fill="0070F2"/>
            <w:tcMar>
              <w:top w:w="100" w:type="dxa"/>
              <w:bottom w:w="100" w:type="dxa"/>
              <w:left w:w="120" w:type="dxa"/>
              <w:right w:w="120" w:type="dxa"/>
            </w:tcMar>
          </w:tcPr>
          <w:p>
            <w:r>
              <w:rPr>
                <w:rFonts w:ascii="Arial" w:hAnsi="Arial"/>
                <w:b/>
                <w:color w:val="FFFFFF"/>
                <w:sz w:val="19"/>
              </w:rPr>
              <w:t>Test Suite Identifier</w:t>
            </w:r>
          </w:p>
        </w:tc>
        <w:tc>
          <w:tcPr>
            <w:tcW w:type="dxa" w:w="3120"/>
            <w:shd w:fill="0070F2"/>
            <w:tcMar>
              <w:top w:w="100" w:type="dxa"/>
              <w:bottom w:w="100" w:type="dxa"/>
              <w:left w:w="120" w:type="dxa"/>
              <w:right w:w="120" w:type="dxa"/>
            </w:tcMar>
          </w:tcPr>
          <w:p>
            <w:r>
              <w:rPr>
                <w:rFonts w:ascii="Arial" w:hAnsi="Arial"/>
                <w:b/>
                <w:color w:val="FFFFFF"/>
                <w:sz w:val="19"/>
              </w:rPr>
              <w:t>Tested Standard &amp; Query Description</w:t>
            </w:r>
          </w:p>
        </w:tc>
        <w:tc>
          <w:tcPr>
            <w:tcW w:type="dxa" w:w="3120"/>
            <w:shd w:fill="0070F2"/>
            <w:tcMar>
              <w:top w:w="100" w:type="dxa"/>
              <w:bottom w:w="100" w:type="dxa"/>
              <w:left w:w="120" w:type="dxa"/>
              <w:right w:w="120" w:type="dxa"/>
            </w:tcMar>
          </w:tcPr>
          <w:p>
            <w:r>
              <w:rPr>
                <w:rFonts w:ascii="Arial" w:hAnsi="Arial"/>
                <w:b/>
                <w:color w:val="FFFFFF"/>
                <w:sz w:val="19"/>
              </w:rPr>
              <w:t>Verified Benchmark Assertions</w:t>
            </w:r>
          </w:p>
        </w:tc>
      </w:tr>
      <w:tr>
        <w:tc>
          <w:tcPr>
            <w:tcW w:type="dxa" w:w="3120"/>
            <w:shd w:fill="FFFFFF"/>
            <w:tcMar>
              <w:top w:w="80" w:type="dxa"/>
              <w:bottom w:w="80" w:type="dxa"/>
              <w:left w:w="100" w:type="dxa"/>
              <w:right w:w="100" w:type="dxa"/>
            </w:tcMar>
          </w:tcPr>
          <w:p>
            <w:r>
              <w:rPr>
                <w:rFonts w:ascii="Arial" w:hAnsi="Arial"/>
                <w:color w:val="334155"/>
                <w:sz w:val="18"/>
              </w:rPr>
              <w:t>TEST 1</w:t>
            </w:r>
          </w:p>
        </w:tc>
        <w:tc>
          <w:tcPr>
            <w:tcW w:type="dxa" w:w="3120"/>
            <w:shd w:fill="FFFFFF"/>
            <w:tcMar>
              <w:top w:w="80" w:type="dxa"/>
              <w:bottom w:w="80" w:type="dxa"/>
              <w:left w:w="100" w:type="dxa"/>
              <w:right w:w="100" w:type="dxa"/>
            </w:tcMar>
          </w:tcPr>
          <w:p>
            <w:r>
              <w:rPr>
                <w:rFonts w:ascii="Arial" w:hAnsi="Arial"/>
                <w:color w:val="334155"/>
                <w:sz w:val="18"/>
              </w:rPr>
              <w:t>ASME VIII UG-27(d) / API 7K (Pulsation Dampener)</w:t>
            </w:r>
          </w:p>
        </w:tc>
        <w:tc>
          <w:tcPr>
            <w:tcW w:type="dxa" w:w="3120"/>
            <w:shd w:fill="FFFFFF"/>
            <w:tcMar>
              <w:top w:w="80" w:type="dxa"/>
              <w:bottom w:w="80" w:type="dxa"/>
              <w:left w:w="100" w:type="dxa"/>
              <w:right w:w="100" w:type="dxa"/>
            </w:tcMar>
          </w:tcPr>
          <w:p>
            <w:r>
              <w:rPr>
                <w:rFonts w:ascii="Arial" w:hAnsi="Arial"/>
                <w:color w:val="107E3E"/>
                <w:sz w:val="17"/>
              </w:rPr>
              <w:t>5/5 PASS: Cites UG-27(d), wall 1.534 in (39 mm), explicit accept/reject criteria, no API 1104 citation.</w:t>
            </w:r>
          </w:p>
        </w:tc>
      </w:tr>
      <w:tr>
        <w:tc>
          <w:tcPr>
            <w:tcW w:type="dxa" w:w="3120"/>
            <w:shd w:fill="F8FAFC"/>
            <w:tcMar>
              <w:top w:w="80" w:type="dxa"/>
              <w:bottom w:w="80" w:type="dxa"/>
              <w:left w:w="100" w:type="dxa"/>
              <w:right w:w="100" w:type="dxa"/>
            </w:tcMar>
          </w:tcPr>
          <w:p>
            <w:r>
              <w:rPr>
                <w:rFonts w:ascii="Arial" w:hAnsi="Arial"/>
                <w:color w:val="334155"/>
                <w:sz w:val="18"/>
              </w:rPr>
              <w:t>TEST 2</w:t>
            </w:r>
          </w:p>
        </w:tc>
        <w:tc>
          <w:tcPr>
            <w:tcW w:type="dxa" w:w="3120"/>
            <w:shd w:fill="F8FAFC"/>
            <w:tcMar>
              <w:top w:w="80" w:type="dxa"/>
              <w:bottom w:w="80" w:type="dxa"/>
              <w:left w:w="100" w:type="dxa"/>
              <w:right w:w="100" w:type="dxa"/>
            </w:tcMar>
          </w:tcPr>
          <w:p>
            <w:r>
              <w:rPr>
                <w:rFonts w:ascii="Arial" w:hAnsi="Arial"/>
                <w:color w:val="334155"/>
                <w:sz w:val="18"/>
              </w:rPr>
              <w:t>ASME B31.3 Table 341.3.2 (Severe Cyclic Undercut)</w:t>
            </w:r>
          </w:p>
        </w:tc>
        <w:tc>
          <w:tcPr>
            <w:tcW w:type="dxa" w:w="3120"/>
            <w:shd w:fill="F8FAFC"/>
            <w:tcMar>
              <w:top w:w="80" w:type="dxa"/>
              <w:bottom w:w="80" w:type="dxa"/>
              <w:left w:w="100" w:type="dxa"/>
              <w:right w:w="100" w:type="dxa"/>
            </w:tcMar>
          </w:tcPr>
          <w:p>
            <w:r>
              <w:rPr>
                <w:rFonts w:ascii="Arial" w:hAnsi="Arial"/>
                <w:color w:val="107E3E"/>
                <w:sz w:val="17"/>
              </w:rPr>
              <w:t>3/3 PASS: Cites Table 341.3.2, specifies 0.0 mm / zero undercut, explicit rejection.</w:t>
            </w:r>
          </w:p>
        </w:tc>
      </w:tr>
      <w:tr>
        <w:tc>
          <w:tcPr>
            <w:tcW w:type="dxa" w:w="3120"/>
            <w:shd w:fill="FFFFFF"/>
            <w:tcMar>
              <w:top w:w="80" w:type="dxa"/>
              <w:bottom w:w="80" w:type="dxa"/>
              <w:left w:w="100" w:type="dxa"/>
              <w:right w:w="100" w:type="dxa"/>
            </w:tcMar>
          </w:tcPr>
          <w:p>
            <w:r>
              <w:rPr>
                <w:rFonts w:ascii="Arial" w:hAnsi="Arial"/>
                <w:color w:val="334155"/>
                <w:sz w:val="18"/>
              </w:rPr>
              <w:t>TEST 3</w:t>
            </w:r>
          </w:p>
        </w:tc>
        <w:tc>
          <w:tcPr>
            <w:tcW w:type="dxa" w:w="3120"/>
            <w:shd w:fill="FFFFFF"/>
            <w:tcMar>
              <w:top w:w="80" w:type="dxa"/>
              <w:bottom w:w="80" w:type="dxa"/>
              <w:left w:w="100" w:type="dxa"/>
              <w:right w:w="100" w:type="dxa"/>
            </w:tcMar>
          </w:tcPr>
          <w:p>
            <w:r>
              <w:rPr>
                <w:rFonts w:ascii="Arial" w:hAnsi="Arial"/>
                <w:color w:val="334155"/>
                <w:sz w:val="18"/>
              </w:rPr>
              <w:t>API RP 8B / ISO 13534 (5-inch DP Elevator Bore Wear)</w:t>
            </w:r>
          </w:p>
        </w:tc>
        <w:tc>
          <w:tcPr>
            <w:tcW w:type="dxa" w:w="3120"/>
            <w:shd w:fill="FFFFFF"/>
            <w:tcMar>
              <w:top w:w="80" w:type="dxa"/>
              <w:bottom w:w="80" w:type="dxa"/>
              <w:left w:w="100" w:type="dxa"/>
              <w:right w:w="100" w:type="dxa"/>
            </w:tcMar>
          </w:tcPr>
          <w:p>
            <w:r>
              <w:rPr>
                <w:rFonts w:ascii="Arial" w:hAnsi="Arial"/>
                <w:color w:val="107E3E"/>
                <w:sz w:val="17"/>
              </w:rPr>
              <w:t>3/3 PASS: Cites API RP 8B, calculates max bore 5.167 in (131 mm), pass/fail criteria stated.</w:t>
            </w:r>
          </w:p>
        </w:tc>
      </w:tr>
      <w:tr>
        <w:tc>
          <w:tcPr>
            <w:tcW w:type="dxa" w:w="3120"/>
            <w:shd w:fill="F8FAFC"/>
            <w:tcMar>
              <w:top w:w="80" w:type="dxa"/>
              <w:bottom w:w="80" w:type="dxa"/>
              <w:left w:w="100" w:type="dxa"/>
              <w:right w:w="100" w:type="dxa"/>
            </w:tcMar>
          </w:tcPr>
          <w:p>
            <w:r>
              <w:rPr>
                <w:rFonts w:ascii="Arial" w:hAnsi="Arial"/>
                <w:color w:val="334155"/>
                <w:sz w:val="18"/>
              </w:rPr>
              <w:t>TEST 4</w:t>
            </w:r>
          </w:p>
        </w:tc>
        <w:tc>
          <w:tcPr>
            <w:tcW w:type="dxa" w:w="3120"/>
            <w:shd w:fill="F8FAFC"/>
            <w:tcMar>
              <w:top w:w="80" w:type="dxa"/>
              <w:bottom w:w="80" w:type="dxa"/>
              <w:left w:w="100" w:type="dxa"/>
              <w:right w:w="100" w:type="dxa"/>
            </w:tcMar>
          </w:tcPr>
          <w:p>
            <w:r>
              <w:rPr>
                <w:rFonts w:ascii="Arial" w:hAnsi="Arial"/>
                <w:color w:val="334155"/>
                <w:sz w:val="18"/>
              </w:rPr>
              <w:t>API 5CT / NACE MR0175 (Grade L-80 Sour Service Hardness)</w:t>
            </w:r>
          </w:p>
        </w:tc>
        <w:tc>
          <w:tcPr>
            <w:tcW w:type="dxa" w:w="3120"/>
            <w:shd w:fill="F8FAFC"/>
            <w:tcMar>
              <w:top w:w="80" w:type="dxa"/>
              <w:bottom w:w="80" w:type="dxa"/>
              <w:left w:w="100" w:type="dxa"/>
              <w:right w:w="100" w:type="dxa"/>
            </w:tcMar>
          </w:tcPr>
          <w:p>
            <w:r>
              <w:rPr>
                <w:rFonts w:ascii="Arial" w:hAnsi="Arial"/>
                <w:color w:val="107E3E"/>
                <w:sz w:val="17"/>
              </w:rPr>
              <w:t>3/3 PASS: Cites API 5CT / NACE MR0175, states 23 HRC max (241 HBW), rejection threshold.</w:t>
            </w:r>
          </w:p>
        </w:tc>
      </w:tr>
      <w:tr>
        <w:tc>
          <w:tcPr>
            <w:tcW w:type="dxa" w:w="3120"/>
            <w:shd w:fill="FFFFFF"/>
            <w:tcMar>
              <w:top w:w="80" w:type="dxa"/>
              <w:bottom w:w="80" w:type="dxa"/>
              <w:left w:w="100" w:type="dxa"/>
              <w:right w:w="100" w:type="dxa"/>
            </w:tcMar>
          </w:tcPr>
          <w:p>
            <w:r>
              <w:rPr>
                <w:rFonts w:ascii="Arial" w:hAnsi="Arial"/>
                <w:color w:val="334155"/>
                <w:sz w:val="18"/>
              </w:rPr>
              <w:t>TEST 5</w:t>
            </w:r>
          </w:p>
        </w:tc>
        <w:tc>
          <w:tcPr>
            <w:tcW w:type="dxa" w:w="3120"/>
            <w:shd w:fill="FFFFFF"/>
            <w:tcMar>
              <w:top w:w="80" w:type="dxa"/>
              <w:bottom w:w="80" w:type="dxa"/>
              <w:left w:w="100" w:type="dxa"/>
              <w:right w:w="100" w:type="dxa"/>
            </w:tcMar>
          </w:tcPr>
          <w:p>
            <w:r>
              <w:rPr>
                <w:rFonts w:ascii="Arial" w:hAnsi="Arial"/>
                <w:color w:val="334155"/>
                <w:sz w:val="18"/>
              </w:rPr>
              <w:t>ASME V Article 2 T-260 (Radiographic Optical Density Limits)</w:t>
            </w:r>
          </w:p>
        </w:tc>
        <w:tc>
          <w:tcPr>
            <w:tcW w:type="dxa" w:w="3120"/>
            <w:shd w:fill="FFFFFF"/>
            <w:tcMar>
              <w:top w:w="80" w:type="dxa"/>
              <w:bottom w:w="80" w:type="dxa"/>
              <w:left w:w="100" w:type="dxa"/>
              <w:right w:w="100" w:type="dxa"/>
            </w:tcMar>
          </w:tcPr>
          <w:p>
            <w:r>
              <w:rPr>
                <w:rFonts w:ascii="Arial" w:hAnsi="Arial"/>
                <w:color w:val="107E3E"/>
                <w:sz w:val="17"/>
              </w:rPr>
              <w:t>3/3 PASS: Cites T-260, states 1.8 min (X-ray), 2.0 min (Gamma), 4.0 max density.</w:t>
            </w:r>
          </w:p>
        </w:tc>
      </w:tr>
      <w:tr>
        <w:tc>
          <w:tcPr>
            <w:tcW w:type="dxa" w:w="3120"/>
            <w:shd w:fill="F8FAFC"/>
            <w:tcMar>
              <w:top w:w="80" w:type="dxa"/>
              <w:bottom w:w="80" w:type="dxa"/>
              <w:left w:w="100" w:type="dxa"/>
              <w:right w:w="100" w:type="dxa"/>
            </w:tcMar>
          </w:tcPr>
          <w:p>
            <w:r>
              <w:rPr>
                <w:rFonts w:ascii="Arial" w:hAnsi="Arial"/>
                <w:color w:val="334155"/>
                <w:sz w:val="18"/>
              </w:rPr>
              <w:t>TEST 6</w:t>
            </w:r>
          </w:p>
        </w:tc>
        <w:tc>
          <w:tcPr>
            <w:tcW w:type="dxa" w:w="3120"/>
            <w:shd w:fill="F8FAFC"/>
            <w:tcMar>
              <w:top w:w="80" w:type="dxa"/>
              <w:bottom w:w="80" w:type="dxa"/>
              <w:left w:w="100" w:type="dxa"/>
              <w:right w:w="100" w:type="dxa"/>
            </w:tcMar>
          </w:tcPr>
          <w:p>
            <w:r>
              <w:rPr>
                <w:rFonts w:ascii="Arial" w:hAnsi="Arial"/>
                <w:color w:val="334155"/>
                <w:sz w:val="18"/>
              </w:rPr>
              <w:t>API 4F / 4G Clause 8.1 (Mast Leg Straightness Bow Tolerance)</w:t>
            </w:r>
          </w:p>
        </w:tc>
        <w:tc>
          <w:tcPr>
            <w:tcW w:type="dxa" w:w="3120"/>
            <w:shd w:fill="F8FAFC"/>
            <w:tcMar>
              <w:top w:w="80" w:type="dxa"/>
              <w:bottom w:w="80" w:type="dxa"/>
              <w:left w:w="100" w:type="dxa"/>
              <w:right w:w="100" w:type="dxa"/>
            </w:tcMar>
          </w:tcPr>
          <w:p>
            <w:r>
              <w:rPr>
                <w:rFonts w:ascii="Arial" w:hAnsi="Arial"/>
                <w:color w:val="107E3E"/>
                <w:sz w:val="17"/>
              </w:rPr>
              <w:t>3/3 PASS: Cites API 4F / 4G 8.1, states L/1000 and 1/8 in (3.2 mm) max, explicit rejection.</w:t>
            </w:r>
          </w:p>
        </w:tc>
      </w:tr>
      <w:tr>
        <w:tc>
          <w:tcPr>
            <w:tcW w:type="dxa" w:w="3120"/>
            <w:shd w:fill="FFFFFF"/>
            <w:tcMar>
              <w:top w:w="80" w:type="dxa"/>
              <w:bottom w:w="80" w:type="dxa"/>
              <w:left w:w="100" w:type="dxa"/>
              <w:right w:w="100" w:type="dxa"/>
            </w:tcMar>
          </w:tcPr>
          <w:p>
            <w:r>
              <w:rPr>
                <w:rFonts w:ascii="Arial" w:hAnsi="Arial"/>
                <w:color w:val="334155"/>
                <w:sz w:val="18"/>
              </w:rPr>
              <w:t>TEST 7</w:t>
            </w:r>
          </w:p>
        </w:tc>
        <w:tc>
          <w:tcPr>
            <w:tcW w:type="dxa" w:w="3120"/>
            <w:shd w:fill="FFFFFF"/>
            <w:tcMar>
              <w:top w:w="80" w:type="dxa"/>
              <w:bottom w:w="80" w:type="dxa"/>
              <w:left w:w="100" w:type="dxa"/>
              <w:right w:w="100" w:type="dxa"/>
            </w:tcMar>
          </w:tcPr>
          <w:p>
            <w:r>
              <w:rPr>
                <w:rFonts w:ascii="Arial" w:hAnsi="Arial"/>
                <w:color w:val="334155"/>
                <w:sz w:val="18"/>
              </w:rPr>
              <w:t>API RP 4G Clause 8.3 (Mast Leg Corrosion Wall Loss Limit)</w:t>
            </w:r>
          </w:p>
        </w:tc>
        <w:tc>
          <w:tcPr>
            <w:tcW w:type="dxa" w:w="3120"/>
            <w:shd w:fill="FFFFFF"/>
            <w:tcMar>
              <w:top w:w="80" w:type="dxa"/>
              <w:bottom w:w="80" w:type="dxa"/>
              <w:left w:w="100" w:type="dxa"/>
              <w:right w:w="100" w:type="dxa"/>
            </w:tcMar>
          </w:tcPr>
          <w:p>
            <w:r>
              <w:rPr>
                <w:rFonts w:ascii="Arial" w:hAnsi="Arial"/>
                <w:color w:val="107E3E"/>
                <w:sz w:val="17"/>
              </w:rPr>
              <w:t>3/3 PASS: Cites API RP 4G 8.3, states 10% max wall loss (t &gt;= 90%), rejection threshold.</w:t>
            </w:r>
          </w:p>
        </w:tc>
      </w:tr>
      <w:tr>
        <w:tc>
          <w:tcPr>
            <w:tcW w:type="dxa" w:w="3120"/>
            <w:shd w:fill="F8FAFC"/>
            <w:tcMar>
              <w:top w:w="80" w:type="dxa"/>
              <w:bottom w:w="80" w:type="dxa"/>
              <w:left w:w="100" w:type="dxa"/>
              <w:right w:w="100" w:type="dxa"/>
            </w:tcMar>
          </w:tcPr>
          <w:p>
            <w:r>
              <w:rPr>
                <w:rFonts w:ascii="Arial" w:hAnsi="Arial"/>
                <w:color w:val="334155"/>
                <w:sz w:val="18"/>
              </w:rPr>
              <w:t>TEST 8</w:t>
            </w:r>
          </w:p>
        </w:tc>
        <w:tc>
          <w:tcPr>
            <w:tcW w:type="dxa" w:w="3120"/>
            <w:shd w:fill="F8FAFC"/>
            <w:tcMar>
              <w:top w:w="80" w:type="dxa"/>
              <w:bottom w:w="80" w:type="dxa"/>
              <w:left w:w="100" w:type="dxa"/>
              <w:right w:w="100" w:type="dxa"/>
            </w:tcMar>
          </w:tcPr>
          <w:p>
            <w:r>
              <w:rPr>
                <w:rFonts w:ascii="Arial" w:hAnsi="Arial"/>
                <w:color w:val="334155"/>
                <w:sz w:val="18"/>
              </w:rPr>
              <w:t>API RP 4G (Category IV Mast Overhaul Interval &amp; PE Qualification)</w:t>
            </w:r>
          </w:p>
        </w:tc>
        <w:tc>
          <w:tcPr>
            <w:tcW w:type="dxa" w:w="3120"/>
            <w:shd w:fill="F8FAFC"/>
            <w:tcMar>
              <w:top w:w="80" w:type="dxa"/>
              <w:bottom w:w="80" w:type="dxa"/>
              <w:left w:w="100" w:type="dxa"/>
              <w:right w:w="100" w:type="dxa"/>
            </w:tcMar>
          </w:tcPr>
          <w:p>
            <w:r>
              <w:rPr>
                <w:rFonts w:ascii="Arial" w:hAnsi="Arial"/>
                <w:color w:val="107E3E"/>
                <w:sz w:val="17"/>
              </w:rPr>
              <w:t>3/3 PASS: States 10 yr interval (5 yr offshore), requires PE / OEM rep, 100% NDT.</w:t>
            </w:r>
          </w:p>
        </w:tc>
      </w:tr>
      <w:tr>
        <w:tc>
          <w:tcPr>
            <w:tcW w:type="dxa" w:w="3120"/>
            <w:shd w:fill="FFFFFF"/>
            <w:tcMar>
              <w:top w:w="80" w:type="dxa"/>
              <w:bottom w:w="80" w:type="dxa"/>
              <w:left w:w="100" w:type="dxa"/>
              <w:right w:w="100" w:type="dxa"/>
            </w:tcMar>
          </w:tcPr>
          <w:p>
            <w:r>
              <w:rPr>
                <w:rFonts w:ascii="Arial" w:hAnsi="Arial"/>
                <w:color w:val="334155"/>
                <w:sz w:val="18"/>
              </w:rPr>
              <w:t>TEST 9</w:t>
            </w:r>
          </w:p>
        </w:tc>
        <w:tc>
          <w:tcPr>
            <w:tcW w:type="dxa" w:w="3120"/>
            <w:shd w:fill="FFFFFF"/>
            <w:tcMar>
              <w:top w:w="80" w:type="dxa"/>
              <w:bottom w:w="80" w:type="dxa"/>
              <w:left w:w="100" w:type="dxa"/>
              <w:right w:w="100" w:type="dxa"/>
            </w:tcMar>
          </w:tcPr>
          <w:p>
            <w:r>
              <w:rPr>
                <w:rFonts w:ascii="Arial" w:hAnsi="Arial"/>
                <w:color w:val="334155"/>
                <w:sz w:val="18"/>
              </w:rPr>
              <w:t>API Spec 4F Section 6 (Mast Raising Line Safety Factor)</w:t>
            </w:r>
          </w:p>
        </w:tc>
        <w:tc>
          <w:tcPr>
            <w:tcW w:type="dxa" w:w="3120"/>
            <w:shd w:fill="FFFFFF"/>
            <w:tcMar>
              <w:top w:w="80" w:type="dxa"/>
              <w:bottom w:w="80" w:type="dxa"/>
              <w:left w:w="100" w:type="dxa"/>
              <w:right w:w="100" w:type="dxa"/>
            </w:tcMar>
          </w:tcPr>
          <w:p>
            <w:r>
              <w:rPr>
                <w:rFonts w:ascii="Arial" w:hAnsi="Arial"/>
                <w:color w:val="107E3E"/>
                <w:sz w:val="17"/>
              </w:rPr>
              <w:t>3/3 PASS: Cites API 4F, states safety factor &gt;= 3.0 (or 2.5), explains dynamic raising force.</w:t>
            </w:r>
          </w:p>
        </w:tc>
      </w:tr>
      <w:tr>
        <w:tc>
          <w:tcPr>
            <w:tcW w:type="dxa" w:w="3120"/>
            <w:shd w:fill="F8FAFC"/>
            <w:tcMar>
              <w:top w:w="80" w:type="dxa"/>
              <w:bottom w:w="80" w:type="dxa"/>
              <w:left w:w="100" w:type="dxa"/>
              <w:right w:w="100" w:type="dxa"/>
            </w:tcMar>
          </w:tcPr>
          <w:p>
            <w:r>
              <w:rPr>
                <w:rFonts w:ascii="Arial" w:hAnsi="Arial"/>
                <w:color w:val="334155"/>
                <w:sz w:val="18"/>
              </w:rPr>
              <w:t>TEST 10</w:t>
            </w:r>
          </w:p>
        </w:tc>
        <w:tc>
          <w:tcPr>
            <w:tcW w:type="dxa" w:w="3120"/>
            <w:shd w:fill="F8FAFC"/>
            <w:tcMar>
              <w:top w:w="80" w:type="dxa"/>
              <w:bottom w:w="80" w:type="dxa"/>
              <w:left w:w="100" w:type="dxa"/>
              <w:right w:w="100" w:type="dxa"/>
            </w:tcMar>
          </w:tcPr>
          <w:p>
            <w:r>
              <w:rPr>
                <w:rFonts w:ascii="Arial" w:hAnsi="Arial"/>
                <w:color w:val="334155"/>
                <w:sz w:val="18"/>
              </w:rPr>
              <w:t>API 4F / 4G (Substructure Mast Shoe Leveling Elevation Tolerance)</w:t>
            </w:r>
          </w:p>
        </w:tc>
        <w:tc>
          <w:tcPr>
            <w:tcW w:type="dxa" w:w="3120"/>
            <w:shd w:fill="F8FAFC"/>
            <w:tcMar>
              <w:top w:w="80" w:type="dxa"/>
              <w:bottom w:w="80" w:type="dxa"/>
              <w:left w:w="100" w:type="dxa"/>
              <w:right w:w="100" w:type="dxa"/>
            </w:tcMar>
          </w:tcPr>
          <w:p>
            <w:r>
              <w:rPr>
                <w:rFonts w:ascii="Arial" w:hAnsi="Arial"/>
                <w:color w:val="107E3E"/>
                <w:sz w:val="17"/>
              </w:rPr>
              <w:t>3/3 PASS: Cites API 4F / 4G, states 1/8 in (3.2 mm) max, explains racking prevention.</w:t>
            </w:r>
          </w:p>
        </w:tc>
      </w:tr>
    </w:tbl>
    <w:p>
      <w:pPr>
        <w:spacing w:after="240"/>
      </w:pPr>
    </w:p>
    <w:p>
      <w:pPr>
        <w:keepNext/>
        <w:spacing w:before="400" w:after="120"/>
      </w:pPr>
      <w:r>
        <w:rPr>
          <w:rFonts w:ascii="Arial" w:hAnsi="Arial"/>
          <w:b/>
          <w:color w:val="0070F2"/>
          <w:sz w:val="32"/>
        </w:rPr>
        <w:t>10. Professional Reviewer Checklist &amp; Verification Rubric</w:t>
      </w:r>
    </w:p>
    <w:p>
      <w:pPr>
        <w:spacing w:before="0" w:after="120" w:line="276" w:lineRule="auto"/>
      </w:pPr>
      <w:r>
        <w:rPr>
          <w:rFonts w:ascii="Arial" w:hAnsi="Arial"/>
          <w:color w:val="334155"/>
          <w:sz w:val="21"/>
        </w:rPr>
        <w:t>This rubric is provided for quality management systems (ISO 9001 / ISO 29001) and engineering audit teams to verify compliance of the deployed algorithm during inspection audits: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70F2"/>
            <w:tcMar>
              <w:top w:w="100" w:type="dxa"/>
              <w:bottom w:w="100" w:type="dxa"/>
              <w:left w:w="120" w:type="dxa"/>
              <w:right w:w="120" w:type="dxa"/>
            </w:tcMar>
          </w:tcPr>
          <w:p>
            <w:r>
              <w:rPr>
                <w:rFonts w:ascii="Arial" w:hAnsi="Arial"/>
                <w:b/>
                <w:color w:val="FFFFFF"/>
                <w:sz w:val="19"/>
              </w:rPr>
              <w:t>Audit Item #</w:t>
            </w:r>
          </w:p>
        </w:tc>
        <w:tc>
          <w:tcPr>
            <w:tcW w:type="dxa" w:w="2340"/>
            <w:shd w:fill="0070F2"/>
            <w:tcMar>
              <w:top w:w="100" w:type="dxa"/>
              <w:bottom w:w="100" w:type="dxa"/>
              <w:left w:w="120" w:type="dxa"/>
              <w:right w:w="120" w:type="dxa"/>
            </w:tcMar>
          </w:tcPr>
          <w:p>
            <w:r>
              <w:rPr>
                <w:rFonts w:ascii="Arial" w:hAnsi="Arial"/>
                <w:b/>
                <w:color w:val="FFFFFF"/>
                <w:sz w:val="19"/>
              </w:rPr>
              <w:t>Audit Focus Area</w:t>
            </w:r>
          </w:p>
        </w:tc>
        <w:tc>
          <w:tcPr>
            <w:tcW w:type="dxa" w:w="2340"/>
            <w:shd w:fill="0070F2"/>
            <w:tcMar>
              <w:top w:w="100" w:type="dxa"/>
              <w:bottom w:w="100" w:type="dxa"/>
              <w:left w:w="120" w:type="dxa"/>
              <w:right w:w="120" w:type="dxa"/>
            </w:tcMar>
          </w:tcPr>
          <w:p>
            <w:r>
              <w:rPr>
                <w:rFonts w:ascii="Arial" w:hAnsi="Arial"/>
                <w:b/>
                <w:color w:val="FFFFFF"/>
                <w:sz w:val="19"/>
              </w:rPr>
              <w:t>Required Acceptance Threshold</w:t>
            </w:r>
          </w:p>
        </w:tc>
        <w:tc>
          <w:tcPr>
            <w:tcW w:type="dxa" w:w="2340"/>
            <w:shd w:fill="0070F2"/>
            <w:tcMar>
              <w:top w:w="100" w:type="dxa"/>
              <w:bottom w:w="100" w:type="dxa"/>
              <w:left w:w="120" w:type="dxa"/>
              <w:right w:w="120" w:type="dxa"/>
            </w:tcMar>
          </w:tcPr>
          <w:p>
            <w:r>
              <w:rPr>
                <w:rFonts w:ascii="Arial" w:hAnsi="Arial"/>
                <w:b/>
                <w:color w:val="FFFFFF"/>
                <w:sz w:val="19"/>
              </w:rPr>
              <w:t>Verification Method</w:t>
            </w:r>
          </w:p>
        </w:tc>
      </w:tr>
      <w:tr>
        <w:tc>
          <w:tcPr>
            <w:tcW w:type="dxa" w:w="2340"/>
            <w:shd w:fill="FFFFFF"/>
            <w:tcMar>
              <w:top w:w="80" w:type="dxa"/>
              <w:bottom w:w="80" w:type="dxa"/>
              <w:left w:w="100" w:type="dxa"/>
              <w:right w:w="100" w:type="dxa"/>
            </w:tcMar>
          </w:tcPr>
          <w:p>
            <w:r>
              <w:rPr>
                <w:rFonts w:ascii="Arial" w:hAnsi="Arial"/>
                <w:color w:val="334155"/>
                <w:sz w:val="18"/>
              </w:rPr>
              <w:t>CHK-01</w:t>
            </w:r>
          </w:p>
        </w:tc>
        <w:tc>
          <w:tcPr>
            <w:tcW w:type="dxa" w:w="2340"/>
            <w:shd w:fill="FFFFFF"/>
            <w:tcMar>
              <w:top w:w="80" w:type="dxa"/>
              <w:bottom w:w="80" w:type="dxa"/>
              <w:left w:w="100" w:type="dxa"/>
              <w:right w:w="100" w:type="dxa"/>
            </w:tcMar>
          </w:tcPr>
          <w:p>
            <w:r>
              <w:rPr>
                <w:rFonts w:ascii="Arial" w:hAnsi="Arial"/>
                <w:color w:val="334155"/>
                <w:sz w:val="18"/>
              </w:rPr>
              <w:t>Three-Sentence Rule Adherence</w:t>
            </w:r>
          </w:p>
        </w:tc>
        <w:tc>
          <w:tcPr>
            <w:tcW w:type="dxa" w:w="2340"/>
            <w:shd w:fill="FFFFFF"/>
            <w:tcMar>
              <w:top w:w="80" w:type="dxa"/>
              <w:bottom w:w="80" w:type="dxa"/>
              <w:left w:w="100" w:type="dxa"/>
              <w:right w:w="100" w:type="dxa"/>
            </w:tcMar>
          </w:tcPr>
          <w:p>
            <w:r>
              <w:rPr>
                <w:rFonts w:ascii="Arial" w:hAnsi="Arial"/>
                <w:color w:val="334155"/>
                <w:sz w:val="17"/>
              </w:rPr>
              <w:t>100% of responses must cite governing code, clause, and numerical pass/fail threshold in Sentences 1-3.</w:t>
            </w:r>
          </w:p>
        </w:tc>
        <w:tc>
          <w:tcPr>
            <w:tcW w:type="dxa" w:w="2340"/>
            <w:shd w:fill="FFFFFF"/>
            <w:tcMar>
              <w:top w:w="80" w:type="dxa"/>
              <w:bottom w:w="80" w:type="dxa"/>
              <w:left w:w="100" w:type="dxa"/>
              <w:right w:w="100" w:type="dxa"/>
            </w:tcMar>
          </w:tcPr>
          <w:p>
            <w:r>
              <w:rPr>
                <w:rFonts w:ascii="Arial" w:hAnsi="Arial"/>
                <w:color w:val="334155"/>
                <w:sz w:val="17"/>
              </w:rPr>
              <w:t>Automated Regex Test Suite (test_accuracy_suite.js)</w:t>
            </w:r>
          </w:p>
        </w:tc>
      </w:tr>
      <w:tr>
        <w:tc>
          <w:tcPr>
            <w:tcW w:type="dxa" w:w="2340"/>
            <w:shd w:fill="F8FAFC"/>
            <w:tcMar>
              <w:top w:w="80" w:type="dxa"/>
              <w:bottom w:w="80" w:type="dxa"/>
              <w:left w:w="100" w:type="dxa"/>
              <w:right w:w="100" w:type="dxa"/>
            </w:tcMar>
          </w:tcPr>
          <w:p>
            <w:r>
              <w:rPr>
                <w:rFonts w:ascii="Arial" w:hAnsi="Arial"/>
                <w:color w:val="334155"/>
                <w:sz w:val="18"/>
              </w:rPr>
              <w:t>CHK-02</w:t>
            </w:r>
          </w:p>
        </w:tc>
        <w:tc>
          <w:tcPr>
            <w:tcW w:type="dxa" w:w="2340"/>
            <w:shd w:fill="F8FAFC"/>
            <w:tcMar>
              <w:top w:w="80" w:type="dxa"/>
              <w:bottom w:w="80" w:type="dxa"/>
              <w:left w:w="100" w:type="dxa"/>
              <w:right w:w="100" w:type="dxa"/>
            </w:tcMar>
          </w:tcPr>
          <w:p>
            <w:r>
              <w:rPr>
                <w:rFonts w:ascii="Arial" w:hAnsi="Arial"/>
                <w:color w:val="334155"/>
                <w:sz w:val="18"/>
              </w:rPr>
              <w:t>Mathematical Formula Precision</w:t>
            </w:r>
          </w:p>
        </w:tc>
        <w:tc>
          <w:tcPr>
            <w:tcW w:type="dxa" w:w="2340"/>
            <w:shd w:fill="F8FAFC"/>
            <w:tcMar>
              <w:top w:w="80" w:type="dxa"/>
              <w:bottom w:w="80" w:type="dxa"/>
              <w:left w:w="100" w:type="dxa"/>
              <w:right w:w="100" w:type="dxa"/>
            </w:tcMar>
          </w:tcPr>
          <w:p>
            <w:r>
              <w:rPr>
                <w:rFonts w:ascii="Arial" w:hAnsi="Arial"/>
                <w:color w:val="334155"/>
                <w:sz w:val="17"/>
              </w:rPr>
              <w:t>Formula derivations (UG-27, B31.3, API 8B) must match ASME/API formulas to within ±0.01% error.</w:t>
            </w:r>
          </w:p>
        </w:tc>
        <w:tc>
          <w:tcPr>
            <w:tcW w:type="dxa" w:w="2340"/>
            <w:shd w:fill="F8FAFC"/>
            <w:tcMar>
              <w:top w:w="80" w:type="dxa"/>
              <w:bottom w:w="80" w:type="dxa"/>
              <w:left w:w="100" w:type="dxa"/>
              <w:right w:w="100" w:type="dxa"/>
            </w:tcMar>
          </w:tcPr>
          <w:p>
            <w:r>
              <w:rPr>
                <w:rFonts w:ascii="Arial" w:hAnsi="Arial"/>
                <w:color w:val="334155"/>
                <w:sz w:val="17"/>
              </w:rPr>
              <w:t>Deterministic Formula Engine Pre-Check</w:t>
            </w:r>
          </w:p>
        </w:tc>
      </w:tr>
      <w:tr>
        <w:tc>
          <w:tcPr>
            <w:tcW w:type="dxa" w:w="2340"/>
            <w:shd w:fill="FFFFFF"/>
            <w:tcMar>
              <w:top w:w="80" w:type="dxa"/>
              <w:bottom w:w="80" w:type="dxa"/>
              <w:left w:w="100" w:type="dxa"/>
              <w:right w:w="100" w:type="dxa"/>
            </w:tcMar>
          </w:tcPr>
          <w:p>
            <w:r>
              <w:rPr>
                <w:rFonts w:ascii="Arial" w:hAnsi="Arial"/>
                <w:color w:val="334155"/>
                <w:sz w:val="18"/>
              </w:rPr>
              <w:t>CHK-03</w:t>
            </w:r>
          </w:p>
        </w:tc>
        <w:tc>
          <w:tcPr>
            <w:tcW w:type="dxa" w:w="2340"/>
            <w:shd w:fill="FFFFFF"/>
            <w:tcMar>
              <w:top w:w="80" w:type="dxa"/>
              <w:bottom w:w="80" w:type="dxa"/>
              <w:left w:w="100" w:type="dxa"/>
              <w:right w:w="100" w:type="dxa"/>
            </w:tcMar>
          </w:tcPr>
          <w:p>
            <w:r>
              <w:rPr>
                <w:rFonts w:ascii="Arial" w:hAnsi="Arial"/>
                <w:color w:val="334155"/>
                <w:sz w:val="18"/>
              </w:rPr>
              <w:t>Prohibited Standard Cross-Contamination</w:t>
            </w:r>
          </w:p>
        </w:tc>
        <w:tc>
          <w:tcPr>
            <w:tcW w:type="dxa" w:w="2340"/>
            <w:shd w:fill="FFFFFF"/>
            <w:tcMar>
              <w:top w:w="80" w:type="dxa"/>
              <w:bottom w:w="80" w:type="dxa"/>
              <w:left w:w="100" w:type="dxa"/>
              <w:right w:w="100" w:type="dxa"/>
            </w:tcMar>
          </w:tcPr>
          <w:p>
            <w:r>
              <w:rPr>
                <w:rFonts w:ascii="Arial" w:hAnsi="Arial"/>
                <w:color w:val="334155"/>
                <w:sz w:val="17"/>
              </w:rPr>
              <w:t>Piping codes (e.g. API 1104) must NEVER be cited for pressure vessels (ASME VIII).</w:t>
            </w:r>
          </w:p>
        </w:tc>
        <w:tc>
          <w:tcPr>
            <w:tcW w:type="dxa" w:w="2340"/>
            <w:shd w:fill="FFFFFF"/>
            <w:tcMar>
              <w:top w:w="80" w:type="dxa"/>
              <w:bottom w:w="80" w:type="dxa"/>
              <w:left w:w="100" w:type="dxa"/>
              <w:right w:w="100" w:type="dxa"/>
            </w:tcMar>
          </w:tcPr>
          <w:p>
            <w:r>
              <w:rPr>
                <w:rFonts w:ascii="Arial" w:hAnsi="Arial"/>
                <w:color w:val="334155"/>
                <w:sz w:val="17"/>
              </w:rPr>
              <w:t>Negative Assertion Blacklist Unit Tests</w:t>
            </w:r>
          </w:p>
        </w:tc>
      </w:tr>
      <w:tr>
        <w:tc>
          <w:tcPr>
            <w:tcW w:type="dxa" w:w="2340"/>
            <w:shd w:fill="F8FAFC"/>
            <w:tcMar>
              <w:top w:w="80" w:type="dxa"/>
              <w:bottom w:w="80" w:type="dxa"/>
              <w:left w:w="100" w:type="dxa"/>
              <w:right w:w="100" w:type="dxa"/>
            </w:tcMar>
          </w:tcPr>
          <w:p>
            <w:r>
              <w:rPr>
                <w:rFonts w:ascii="Arial" w:hAnsi="Arial"/>
                <w:color w:val="334155"/>
                <w:sz w:val="18"/>
              </w:rPr>
              <w:t>CHK-04</w:t>
            </w:r>
          </w:p>
        </w:tc>
        <w:tc>
          <w:tcPr>
            <w:tcW w:type="dxa" w:w="2340"/>
            <w:shd w:fill="F8FAFC"/>
            <w:tcMar>
              <w:top w:w="80" w:type="dxa"/>
              <w:bottom w:w="80" w:type="dxa"/>
              <w:left w:w="100" w:type="dxa"/>
              <w:right w:w="100" w:type="dxa"/>
            </w:tcMar>
          </w:tcPr>
          <w:p>
            <w:r>
              <w:rPr>
                <w:rFonts w:ascii="Arial" w:hAnsi="Arial"/>
                <w:color w:val="334155"/>
                <w:sz w:val="18"/>
              </w:rPr>
              <w:t>Chunk Overlap &amp; Boundary Integrity</w:t>
            </w:r>
          </w:p>
        </w:tc>
        <w:tc>
          <w:tcPr>
            <w:tcW w:type="dxa" w:w="2340"/>
            <w:shd w:fill="F8FAFC"/>
            <w:tcMar>
              <w:top w:w="80" w:type="dxa"/>
              <w:bottom w:w="80" w:type="dxa"/>
              <w:left w:w="100" w:type="dxa"/>
              <w:right w:w="100" w:type="dxa"/>
            </w:tcMar>
          </w:tcPr>
          <w:p>
            <w:r>
              <w:rPr>
                <w:rFonts w:ascii="Arial" w:hAnsi="Arial"/>
                <w:color w:val="334155"/>
                <w:sz w:val="17"/>
              </w:rPr>
              <w:t>Zero truncation of decimal numbers or clause reference headers across adjacent chunks.</w:t>
            </w:r>
          </w:p>
        </w:tc>
        <w:tc>
          <w:tcPr>
            <w:tcW w:type="dxa" w:w="2340"/>
            <w:shd w:fill="F8FAFC"/>
            <w:tcMar>
              <w:top w:w="80" w:type="dxa"/>
              <w:bottom w:w="80" w:type="dxa"/>
              <w:left w:w="100" w:type="dxa"/>
              <w:right w:w="100" w:type="dxa"/>
            </w:tcMar>
          </w:tcPr>
          <w:p>
            <w:r>
              <w:rPr>
                <w:rFonts w:ascii="Arial" w:hAnsi="Arial"/>
                <w:color w:val="334155"/>
                <w:sz w:val="17"/>
              </w:rPr>
              <w:t>Boundary Tokenizer Unit Tests</w:t>
            </w:r>
          </w:p>
        </w:tc>
      </w:tr>
      <w:tr>
        <w:tc>
          <w:tcPr>
            <w:tcW w:type="dxa" w:w="2340"/>
            <w:shd w:fill="FFFFFF"/>
            <w:tcMar>
              <w:top w:w="80" w:type="dxa"/>
              <w:bottom w:w="80" w:type="dxa"/>
              <w:left w:w="100" w:type="dxa"/>
              <w:right w:w="100" w:type="dxa"/>
            </w:tcMar>
          </w:tcPr>
          <w:p>
            <w:r>
              <w:rPr>
                <w:rFonts w:ascii="Arial" w:hAnsi="Arial"/>
                <w:color w:val="334155"/>
                <w:sz w:val="18"/>
              </w:rPr>
              <w:t>CHK-05</w:t>
            </w:r>
          </w:p>
        </w:tc>
        <w:tc>
          <w:tcPr>
            <w:tcW w:type="dxa" w:w="2340"/>
            <w:shd w:fill="FFFFFF"/>
            <w:tcMar>
              <w:top w:w="80" w:type="dxa"/>
              <w:bottom w:w="80" w:type="dxa"/>
              <w:left w:w="100" w:type="dxa"/>
              <w:right w:w="100" w:type="dxa"/>
            </w:tcMar>
          </w:tcPr>
          <w:p>
            <w:r>
              <w:rPr>
                <w:rFonts w:ascii="Arial" w:hAnsi="Arial"/>
                <w:color w:val="334155"/>
                <w:sz w:val="18"/>
              </w:rPr>
              <w:t>Structured Tabular Accuracy</w:t>
            </w:r>
          </w:p>
        </w:tc>
        <w:tc>
          <w:tcPr>
            <w:tcW w:type="dxa" w:w="2340"/>
            <w:shd w:fill="FFFFFF"/>
            <w:tcMar>
              <w:top w:w="80" w:type="dxa"/>
              <w:bottom w:w="80" w:type="dxa"/>
              <w:left w:w="100" w:type="dxa"/>
              <w:right w:w="100" w:type="dxa"/>
            </w:tcMar>
          </w:tcPr>
          <w:p>
            <w:r>
              <w:rPr>
                <w:rFonts w:ascii="Arial" w:hAnsi="Arial"/>
                <w:color w:val="334155"/>
                <w:sz w:val="17"/>
              </w:rPr>
              <w:t>Tabular queries must retrieve exact column coordinates without transposition of fluid service rows.</w:t>
            </w:r>
          </w:p>
        </w:tc>
        <w:tc>
          <w:tcPr>
            <w:tcW w:type="dxa" w:w="2340"/>
            <w:shd w:fill="FFFFFF"/>
            <w:tcMar>
              <w:top w:w="80" w:type="dxa"/>
              <w:bottom w:w="80" w:type="dxa"/>
              <w:left w:w="100" w:type="dxa"/>
              <w:right w:w="100" w:type="dxa"/>
            </w:tcMar>
          </w:tcPr>
          <w:p>
            <w:r>
              <w:rPr>
                <w:rFonts w:ascii="Arial" w:hAnsi="Arial"/>
                <w:color w:val="334155"/>
                <w:sz w:val="17"/>
              </w:rPr>
              <w:t>Scoped Table-to-JSON Verification</w:t>
            </w:r>
          </w:p>
        </w:tc>
      </w:tr>
      <w:tr>
        <w:tc>
          <w:tcPr>
            <w:tcW w:type="dxa" w:w="2340"/>
            <w:shd w:fill="F8FAFC"/>
            <w:tcMar>
              <w:top w:w="80" w:type="dxa"/>
              <w:bottom w:w="80" w:type="dxa"/>
              <w:left w:w="100" w:type="dxa"/>
              <w:right w:w="100" w:type="dxa"/>
            </w:tcMar>
          </w:tcPr>
          <w:p>
            <w:r>
              <w:rPr>
                <w:rFonts w:ascii="Arial" w:hAnsi="Arial"/>
                <w:color w:val="334155"/>
                <w:sz w:val="18"/>
              </w:rPr>
              <w:t>CHK-06</w:t>
            </w:r>
          </w:p>
        </w:tc>
        <w:tc>
          <w:tcPr>
            <w:tcW w:type="dxa" w:w="2340"/>
            <w:shd w:fill="F8FAFC"/>
            <w:tcMar>
              <w:top w:w="80" w:type="dxa"/>
              <w:bottom w:w="80" w:type="dxa"/>
              <w:left w:w="100" w:type="dxa"/>
              <w:right w:w="100" w:type="dxa"/>
            </w:tcMar>
          </w:tcPr>
          <w:p>
            <w:r>
              <w:rPr>
                <w:rFonts w:ascii="Arial" w:hAnsi="Arial"/>
                <w:color w:val="334155"/>
                <w:sz w:val="18"/>
              </w:rPr>
              <w:t>Streaming Response Latency (TTFT)</w:t>
            </w:r>
          </w:p>
        </w:tc>
        <w:tc>
          <w:tcPr>
            <w:tcW w:type="dxa" w:w="2340"/>
            <w:shd w:fill="F8FAFC"/>
            <w:tcMar>
              <w:top w:w="80" w:type="dxa"/>
              <w:bottom w:w="80" w:type="dxa"/>
              <w:left w:w="100" w:type="dxa"/>
              <w:right w:w="100" w:type="dxa"/>
            </w:tcMar>
          </w:tcPr>
          <w:p>
            <w:r>
              <w:rPr>
                <w:rFonts w:ascii="Arial" w:hAnsi="Arial"/>
                <w:color w:val="334155"/>
                <w:sz w:val="17"/>
              </w:rPr>
              <w:t>Time-To-First-Token must remain under 500 milliseconds on broadband connections.</w:t>
            </w:r>
          </w:p>
        </w:tc>
        <w:tc>
          <w:tcPr>
            <w:tcW w:type="dxa" w:w="2340"/>
            <w:shd w:fill="F8FAFC"/>
            <w:tcMar>
              <w:top w:w="80" w:type="dxa"/>
              <w:bottom w:w="80" w:type="dxa"/>
              <w:left w:w="100" w:type="dxa"/>
              <w:right w:w="100" w:type="dxa"/>
            </w:tcMar>
          </w:tcPr>
          <w:p>
            <w:r>
              <w:rPr>
                <w:rFonts w:ascii="Arial" w:hAnsi="Arial"/>
                <w:color w:val="334155"/>
                <w:sz w:val="17"/>
              </w:rPr>
              <w:t>Edge Worker SSE Benchmarking</w:t>
            </w:r>
          </w:p>
        </w:tc>
      </w:tr>
    </w:tbl>
    <w:p>
      <w:pPr>
        <w:spacing w:after="360"/>
      </w:pPr>
    </w:p>
    <w:p>
      <w:pPr>
        <w:keepNext/>
        <w:spacing w:before="280" w:after="80"/>
      </w:pPr>
      <w:r>
        <w:rPr>
          <w:rFonts w:ascii="Arial" w:hAnsi="Arial"/>
          <w:b/>
          <w:color w:val="0F2942"/>
          <w:sz w:val="26"/>
        </w:rPr>
        <w:t>10.1 Technical Authority Sign-Off &amp; Endorsement</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80" w:type="dxa"/>
              <w:bottom w:w="80" w:type="dxa"/>
              <w:left w:w="100" w:type="dxa"/>
              <w:right w:w="100" w:type="dxa"/>
            </w:tcMar>
          </w:tcPr>
          <w:p>
            <w:r>
              <w:rPr>
                <w:rFonts w:ascii="Arial" w:hAnsi="Arial"/>
                <w:b/>
                <w:color w:val="0F2942"/>
                <w:sz w:val="18"/>
              </w:rPr>
              <w:t>Prepared By (AI Architecture)</w:t>
            </w:r>
          </w:p>
        </w:tc>
        <w:tc>
          <w:tcPr>
            <w:tcW w:type="dxa" w:w="3120"/>
            <w:shd w:fill="F1F5F9"/>
            <w:tcMar>
              <w:top w:w="80" w:type="dxa"/>
              <w:bottom w:w="80" w:type="dxa"/>
              <w:left w:w="100" w:type="dxa"/>
              <w:right w:w="100" w:type="dxa"/>
            </w:tcMar>
          </w:tcPr>
          <w:p>
            <w:r>
              <w:rPr>
                <w:rFonts w:ascii="Arial" w:hAnsi="Arial"/>
                <w:b/>
                <w:color w:val="0F2942"/>
                <w:sz w:val="18"/>
              </w:rPr>
              <w:t>Reviewed By (QA/QC Level III)</w:t>
            </w:r>
          </w:p>
        </w:tc>
        <w:tc>
          <w:tcPr>
            <w:tcW w:type="dxa" w:w="3120"/>
            <w:shd w:fill="F1F5F9"/>
            <w:tcMar>
              <w:top w:w="80" w:type="dxa"/>
              <w:bottom w:w="80" w:type="dxa"/>
              <w:left w:w="100" w:type="dxa"/>
              <w:right w:w="100" w:type="dxa"/>
            </w:tcMar>
          </w:tcPr>
          <w:p>
            <w:r>
              <w:rPr>
                <w:rFonts w:ascii="Arial" w:hAnsi="Arial"/>
                <w:b/>
                <w:color w:val="0F2942"/>
                <w:sz w:val="18"/>
              </w:rPr>
              <w:t>Approved By (Technical Authority)</w:t>
            </w:r>
          </w:p>
        </w:tc>
      </w:tr>
      <w:tr>
        <w:tc>
          <w:tcPr>
            <w:tcW w:type="dxa" w:w="3120"/>
            <w:tcMar>
              <w:top w:w="140" w:type="dxa"/>
              <w:bottom w:w="140" w:type="dxa"/>
              <w:left w:w="100" w:type="dxa"/>
              <w:right w:w="100" w:type="dxa"/>
            </w:tcMar>
          </w:tcPr>
          <w:p>
            <w:r>
              <w:rPr>
                <w:rFonts w:ascii="Consolas" w:hAnsi="Consolas"/>
                <w:color w:val="64748B"/>
                <w:sz w:val="17"/>
              </w:rPr>
              <w:t>Signature: _______________________</w:t>
              <w:br/>
              <w:t>Date:       ____ / ____ / 2026</w:t>
              <w:br/>
              <w:t>Status:    [  ] APPROVED  [  ] REVISE</w:t>
            </w:r>
          </w:p>
        </w:tc>
        <w:tc>
          <w:tcPr>
            <w:tcW w:type="dxa" w:w="3120"/>
            <w:tcMar>
              <w:top w:w="140" w:type="dxa"/>
              <w:bottom w:w="140" w:type="dxa"/>
              <w:left w:w="100" w:type="dxa"/>
              <w:right w:w="100" w:type="dxa"/>
            </w:tcMar>
          </w:tcPr>
          <w:p>
            <w:r>
              <w:rPr>
                <w:rFonts w:ascii="Consolas" w:hAnsi="Consolas"/>
                <w:color w:val="64748B"/>
                <w:sz w:val="17"/>
              </w:rPr>
              <w:t>Signature: _______________________</w:t>
              <w:br/>
              <w:t>Date:       ____ / ____ / 2026</w:t>
              <w:br/>
              <w:t>Status:    [  ] APPROVED  [  ] REVISE</w:t>
            </w:r>
          </w:p>
        </w:tc>
        <w:tc>
          <w:tcPr>
            <w:tcW w:type="dxa" w:w="3120"/>
            <w:tcMar>
              <w:top w:w="140" w:type="dxa"/>
              <w:bottom w:w="140" w:type="dxa"/>
              <w:left w:w="100" w:type="dxa"/>
              <w:right w:w="100" w:type="dxa"/>
            </w:tcMar>
          </w:tcPr>
          <w:p>
            <w:r>
              <w:rPr>
                <w:rFonts w:ascii="Consolas" w:hAnsi="Consolas"/>
                <w:color w:val="64748B"/>
                <w:sz w:val="17"/>
              </w:rPr>
              <w:t>Signature: _______________________</w:t>
              <w:br/>
              <w:t>Date:       ____ / ____ / 2026</w:t>
              <w:br/>
              <w:t>Status:    [  ] APPROVED  [  ] REVISE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