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0B43" w:rsidRDefault="00F70B43" w:rsidP="00F70B43">
      <w:r>
        <w:rPr>
          <w:rFonts w:cs="Arial"/>
          <w:rtl/>
        </w:rPr>
        <w:t>**</w:t>
      </w:r>
      <w:r>
        <w:t>Proposed MOF: Fe(F₄</w:t>
      </w:r>
      <w:r>
        <w:rPr>
          <w:rFonts w:ascii="Cambria Math" w:hAnsi="Cambria Math" w:cs="Cambria Math"/>
        </w:rPr>
        <w:t>‑</w:t>
      </w:r>
      <w:r>
        <w:t xml:space="preserve">bta) </w:t>
      </w:r>
      <w:r>
        <w:rPr>
          <w:rFonts w:ascii="Calibri" w:hAnsi="Calibri" w:cs="Calibri"/>
        </w:rPr>
        <w:t>–</w:t>
      </w:r>
      <w:r>
        <w:t xml:space="preserve"> a fluorinated, iron</w:t>
      </w:r>
      <w:r>
        <w:rPr>
          <w:rFonts w:ascii="Cambria Math" w:hAnsi="Cambria Math" w:cs="Cambria Math"/>
        </w:rPr>
        <w:t>‑</w:t>
      </w:r>
      <w:r>
        <w:t>triazolate framework with conductive mixed</w:t>
      </w:r>
      <w:r>
        <w:rPr>
          <w:rFonts w:ascii="Cambria Math" w:hAnsi="Cambria Math" w:cs="Cambria Math"/>
        </w:rPr>
        <w:t>‑</w:t>
      </w:r>
      <w:r>
        <w:t>valence chains</w:t>
      </w:r>
      <w:r>
        <w:rPr>
          <w:rFonts w:cs="Arial"/>
          <w:rtl/>
        </w:rPr>
        <w:t xml:space="preserve">**  </w:t>
      </w:r>
    </w:p>
    <w:p w:rsidR="00F70B43" w:rsidRDefault="00F70B43" w:rsidP="00F70B43">
      <w:r>
        <w:rPr>
          <w:rFonts w:cs="Arial"/>
          <w:rtl/>
        </w:rPr>
        <w:t>(</w:t>
      </w:r>
      <w:r>
        <w:t>F₄</w:t>
      </w:r>
      <w:r>
        <w:rPr>
          <w:rFonts w:ascii="Cambria Math" w:hAnsi="Cambria Math" w:cs="Cambria Math"/>
        </w:rPr>
        <w:t>‑</w:t>
      </w:r>
      <w:r>
        <w:t xml:space="preserve">bta = </w:t>
      </w:r>
      <w:r>
        <w:rPr>
          <w:rFonts w:cs="Arial"/>
          <w:rtl/>
        </w:rPr>
        <w:t>1,4</w:t>
      </w:r>
      <w:r>
        <w:rPr>
          <w:rFonts w:ascii="Cambria Math" w:hAnsi="Cambria Math" w:cs="Cambria Math"/>
        </w:rPr>
        <w:t>‑</w:t>
      </w:r>
      <w:r>
        <w:t>bis(</w:t>
      </w:r>
      <w:r>
        <w:rPr>
          <w:rFonts w:cs="Arial"/>
          <w:rtl/>
        </w:rPr>
        <w:t>1</w:t>
      </w:r>
      <w:r>
        <w:t>H</w:t>
      </w:r>
      <w:r>
        <w:rPr>
          <w:rFonts w:ascii="Cambria Math" w:hAnsi="Cambria Math" w:cs="Cambria Math"/>
        </w:rPr>
        <w:t>‑</w:t>
      </w:r>
      <w:r>
        <w:rPr>
          <w:rFonts w:cs="Arial"/>
          <w:rtl/>
        </w:rPr>
        <w:t>1,2,3</w:t>
      </w:r>
      <w:r>
        <w:rPr>
          <w:rFonts w:ascii="Cambria Math" w:hAnsi="Cambria Math" w:cs="Cambria Math"/>
        </w:rPr>
        <w:t>‑</w:t>
      </w:r>
      <w:r>
        <w:t>triazol</w:t>
      </w:r>
      <w:r>
        <w:rPr>
          <w:rFonts w:ascii="Cambria Math" w:hAnsi="Cambria Math" w:cs="Cambria Math"/>
        </w:rPr>
        <w:t>‑</w:t>
      </w:r>
      <w:r>
        <w:rPr>
          <w:rFonts w:cs="Arial"/>
          <w:rtl/>
        </w:rPr>
        <w:t>4</w:t>
      </w:r>
      <w:r>
        <w:rPr>
          <w:rFonts w:ascii="Cambria Math" w:hAnsi="Cambria Math" w:cs="Cambria Math"/>
        </w:rPr>
        <w:t>‑</w:t>
      </w:r>
      <w:r>
        <w:t>yl)</w:t>
      </w:r>
      <w:r>
        <w:rPr>
          <w:rFonts w:ascii="Cambria Math" w:hAnsi="Cambria Math" w:cs="Cambria Math"/>
        </w:rPr>
        <w:t>‑</w:t>
      </w:r>
      <w:r>
        <w:rPr>
          <w:rFonts w:cs="Arial"/>
          <w:rtl/>
        </w:rPr>
        <w:t>2,3,5,6</w:t>
      </w:r>
      <w:r>
        <w:rPr>
          <w:rFonts w:ascii="Cambria Math" w:hAnsi="Cambria Math" w:cs="Cambria Math"/>
        </w:rPr>
        <w:t>‑</w:t>
      </w:r>
      <w:r>
        <w:t>tetrafluorobenzene</w:t>
      </w:r>
      <w:r>
        <w:rPr>
          <w:rFonts w:cs="Arial"/>
          <w:rtl/>
        </w:rPr>
        <w:t>)</w:t>
      </w:r>
    </w:p>
    <w:p w:rsidR="00F70B43" w:rsidRDefault="00F70B43" w:rsidP="00F70B43">
      <w:pPr>
        <w:rPr>
          <w:rtl/>
        </w:rPr>
      </w:pPr>
    </w:p>
    <w:p w:rsidR="00F70B43" w:rsidRDefault="00F70B43" w:rsidP="00F70B43">
      <w:r>
        <w:t>The material crystallises as a three</w:t>
      </w:r>
      <w:r>
        <w:rPr>
          <w:rFonts w:ascii="Cambria Math" w:hAnsi="Cambria Math" w:cs="Cambria Math"/>
        </w:rPr>
        <w:t>‑</w:t>
      </w:r>
      <w:r>
        <w:t>dimensional, permanently porous network with **acs**</w:t>
      </w:r>
      <w:r>
        <w:rPr>
          <w:rFonts w:ascii="Cambria Math" w:hAnsi="Cambria Math" w:cs="Cambria Math"/>
        </w:rPr>
        <w:t>‑</w:t>
      </w:r>
      <w:r>
        <w:t>like topology. Infinite [Fe(triazolate)</w:t>
      </w:r>
      <w:r>
        <w:rPr>
          <w:rFonts w:ascii="Calibri" w:hAnsi="Calibri" w:cs="Calibri"/>
        </w:rPr>
        <w:t>₂</w:t>
      </w:r>
      <w:r>
        <w:t>]</w:t>
      </w:r>
      <w:r>
        <w:rPr>
          <w:rFonts w:ascii="Cambria Math" w:hAnsi="Cambria Math" w:cs="Cambria Math"/>
        </w:rPr>
        <w:t>ₙ</w:t>
      </w:r>
      <w:r>
        <w:t xml:space="preserve"> chains, formed by Fe</w:t>
      </w:r>
      <w:r>
        <w:rPr>
          <w:rFonts w:ascii="Calibri" w:hAnsi="Calibri" w:cs="Calibri"/>
        </w:rPr>
        <w:t>²⁺</w:t>
      </w:r>
      <w:r>
        <w:t>/Fe</w:t>
      </w:r>
      <w:r>
        <w:rPr>
          <w:rFonts w:ascii="Calibri" w:hAnsi="Calibri" w:cs="Calibri"/>
        </w:rPr>
        <w:t>³⁺</w:t>
      </w:r>
      <w:r>
        <w:t xml:space="preserve"> nodes bridged by </w:t>
      </w:r>
      <w:r>
        <w:rPr>
          <w:rFonts w:cs="Arial"/>
          <w:rtl/>
        </w:rPr>
        <w:t>1,2,3</w:t>
      </w:r>
      <w:r>
        <w:rPr>
          <w:rFonts w:ascii="Cambria Math" w:hAnsi="Cambria Math" w:cs="Cambria Math"/>
        </w:rPr>
        <w:t>‑</w:t>
      </w:r>
      <w:r>
        <w:t>triazolate groups, run along the crystallographic *c*</w:t>
      </w:r>
      <w:r>
        <w:rPr>
          <w:rFonts w:ascii="Cambria Math" w:hAnsi="Cambria Math" w:cs="Cambria Math"/>
        </w:rPr>
        <w:t>‑</w:t>
      </w:r>
      <w:r>
        <w:t>axis. These chains are cross</w:t>
      </w:r>
      <w:r>
        <w:rPr>
          <w:rFonts w:ascii="Cambria Math" w:hAnsi="Cambria Math" w:cs="Cambria Math"/>
        </w:rPr>
        <w:t>‑</w:t>
      </w:r>
      <w:r>
        <w:t xml:space="preserve">linked by the fluorinated bitriazolate pillars to give </w:t>
      </w:r>
      <w:r>
        <w:rPr>
          <w:rFonts w:cs="Arial"/>
          <w:rtl/>
        </w:rPr>
        <w:t>1</w:t>
      </w:r>
      <w:r>
        <w:t xml:space="preserve">D hydrophobic channels of about </w:t>
      </w:r>
      <w:r>
        <w:rPr>
          <w:rFonts w:cs="Arial"/>
          <w:rtl/>
        </w:rPr>
        <w:t>5.5 </w:t>
      </w:r>
      <w:r>
        <w:t>Å diameter. Partial oxidation of Fe²⁺ to Fe³⁺ during synthesis creates mixed</w:t>
      </w:r>
      <w:r>
        <w:rPr>
          <w:rFonts w:ascii="Cambria Math" w:hAnsi="Cambria Math" w:cs="Cambria Math"/>
        </w:rPr>
        <w:t>‑</w:t>
      </w:r>
      <w:r>
        <w:t>valence chains that enable long</w:t>
      </w:r>
      <w:r>
        <w:rPr>
          <w:rFonts w:ascii="Cambria Math" w:hAnsi="Cambria Math" w:cs="Cambria Math"/>
        </w:rPr>
        <w:t>‑</w:t>
      </w:r>
      <w:r>
        <w:t>range charge transport. The pore walls are densely lined with C–F bonds, which provide an ideal electrostatic landscape for CO₂ while repelling H₂O. Below, each engineering requirement is addressed in detail, together with the fundamental trade</w:t>
      </w:r>
      <w:r>
        <w:rPr>
          <w:rFonts w:ascii="Cambria Math" w:hAnsi="Cambria Math" w:cs="Cambria Math"/>
        </w:rPr>
        <w:t>‑</w:t>
      </w:r>
      <w:r>
        <w:t>offs and their resolutions</w:t>
      </w:r>
      <w:r>
        <w:rPr>
          <w:rFonts w:cs="Arial"/>
          <w:rtl/>
        </w:rPr>
        <w:t>.</w:t>
      </w:r>
    </w:p>
    <w:p w:rsidR="00F70B43" w:rsidRDefault="00F70B43" w:rsidP="00F70B43">
      <w:pPr>
        <w:rPr>
          <w:rtl/>
        </w:rPr>
      </w:pPr>
    </w:p>
    <w:p w:rsidR="00F70B43" w:rsidRDefault="00F70B43" w:rsidP="00F70B43">
      <w:pPr>
        <w:rPr>
          <w:rtl/>
        </w:rPr>
      </w:pPr>
      <w:r>
        <w:rPr>
          <w:rFonts w:cs="Arial"/>
          <w:rtl/>
        </w:rPr>
        <w:t>---</w:t>
      </w:r>
    </w:p>
    <w:p w:rsidR="00F70B43" w:rsidRDefault="00F70B43" w:rsidP="00F70B43">
      <w:pPr>
        <w:rPr>
          <w:rtl/>
        </w:rPr>
      </w:pPr>
    </w:p>
    <w:p w:rsidR="00F70B43" w:rsidRDefault="00F70B43" w:rsidP="00F70B43">
      <w:r>
        <w:rPr>
          <w:rFonts w:cs="Arial"/>
          <w:rtl/>
        </w:rPr>
        <w:t xml:space="preserve">### 1. </w:t>
      </w:r>
      <w:r>
        <w:t>Hydrophobicity and high CO₂ affinity – overcoming the water/CO₂ competition</w:t>
      </w:r>
    </w:p>
    <w:p w:rsidR="00F70B43" w:rsidRDefault="00F70B43" w:rsidP="00F70B43">
      <w:pPr>
        <w:rPr>
          <w:rtl/>
        </w:rPr>
      </w:pPr>
    </w:p>
    <w:p w:rsidR="00F70B43" w:rsidRDefault="00F70B43" w:rsidP="00F70B43">
      <w:r>
        <w:rPr>
          <w:rFonts w:cs="Arial"/>
          <w:rtl/>
        </w:rPr>
        <w:t>**</w:t>
      </w:r>
      <w:r>
        <w:t>Challenge.** CO₂ and H₂O have comparable polarisabilities and quadrupole moments, causing hydrophilic adsorbents to co</w:t>
      </w:r>
      <w:r>
        <w:rPr>
          <w:rFonts w:ascii="Cambria Math" w:hAnsi="Cambria Math" w:cs="Cambria Math"/>
        </w:rPr>
        <w:t>‑</w:t>
      </w:r>
      <w:r>
        <w:t>adsorb large amounts of water that drastically reduce the CO</w:t>
      </w:r>
      <w:r>
        <w:rPr>
          <w:rFonts w:ascii="Calibri" w:hAnsi="Calibri" w:cs="Calibri"/>
        </w:rPr>
        <w:t>₂</w:t>
      </w:r>
      <w:r>
        <w:t xml:space="preserve"> working capacity</w:t>
      </w:r>
      <w:r>
        <w:rPr>
          <w:rFonts w:cs="Arial"/>
          <w:rtl/>
        </w:rPr>
        <w:t>.</w:t>
      </w:r>
    </w:p>
    <w:p w:rsidR="00F70B43" w:rsidRDefault="00F70B43" w:rsidP="00F70B43">
      <w:pPr>
        <w:rPr>
          <w:rtl/>
        </w:rPr>
      </w:pPr>
    </w:p>
    <w:p w:rsidR="00F70B43" w:rsidRDefault="00F70B43" w:rsidP="00F70B43">
      <w:r>
        <w:rPr>
          <w:rFonts w:cs="Arial"/>
          <w:rtl/>
        </w:rPr>
        <w:t>**</w:t>
      </w:r>
      <w:r>
        <w:t>Design strategy</w:t>
      </w:r>
      <w:r>
        <w:rPr>
          <w:rFonts w:cs="Arial"/>
          <w:rtl/>
        </w:rPr>
        <w:t xml:space="preserve">.**  </w:t>
      </w:r>
    </w:p>
    <w:p w:rsidR="00F70B43" w:rsidRDefault="00F70B43" w:rsidP="00F70B43">
      <w:r>
        <w:rPr>
          <w:rFonts w:cs="Arial"/>
          <w:rtl/>
        </w:rPr>
        <w:t>- **</w:t>
      </w:r>
      <w:r>
        <w:t xml:space="preserve">Pore size engineering.** The </w:t>
      </w:r>
      <w:r>
        <w:rPr>
          <w:rFonts w:cs="Arial"/>
          <w:rtl/>
        </w:rPr>
        <w:t>5.5 </w:t>
      </w:r>
      <w:r>
        <w:t xml:space="preserve">Å channels are large enough for CO₂ (kinetic diameter </w:t>
      </w:r>
      <w:r>
        <w:rPr>
          <w:rFonts w:cs="Arial"/>
          <w:rtl/>
        </w:rPr>
        <w:t>3.3 </w:t>
      </w:r>
      <w:r>
        <w:t>Å) to diffuse rapidly but small enough to suppress the formation of extended water clusters. H₂O (</w:t>
      </w:r>
      <w:r>
        <w:rPr>
          <w:rFonts w:cs="Arial"/>
          <w:rtl/>
        </w:rPr>
        <w:t>2.65 </w:t>
      </w:r>
      <w:r>
        <w:t>Å) can still enter the pores, but the absence of hydrogen</w:t>
      </w:r>
      <w:r>
        <w:rPr>
          <w:rFonts w:ascii="Cambria Math" w:hAnsi="Cambria Math" w:cs="Cambria Math"/>
        </w:rPr>
        <w:t>‑</w:t>
      </w:r>
      <w:r>
        <w:t>bond donors/acceptors prevents capillary condensation</w:t>
      </w:r>
      <w:r>
        <w:rPr>
          <w:rFonts w:cs="Arial"/>
          <w:rtl/>
        </w:rPr>
        <w:t xml:space="preserve">.  </w:t>
      </w:r>
    </w:p>
    <w:p w:rsidR="00F70B43" w:rsidRDefault="00F70B43" w:rsidP="00F70B43">
      <w:r>
        <w:rPr>
          <w:rFonts w:cs="Arial"/>
          <w:rtl/>
        </w:rPr>
        <w:t>- **</w:t>
      </w:r>
      <w:r>
        <w:t>Hydrophobic pore lining.** The tetrafluorophenylene spacers of the F₄</w:t>
      </w:r>
      <w:r>
        <w:rPr>
          <w:rFonts w:ascii="Cambria Math" w:hAnsi="Cambria Math" w:cs="Cambria Math"/>
        </w:rPr>
        <w:t>‑</w:t>
      </w:r>
      <w:r>
        <w:t>bta linker create a non</w:t>
      </w:r>
      <w:r>
        <w:rPr>
          <w:rFonts w:ascii="Cambria Math" w:hAnsi="Cambria Math" w:cs="Cambria Math"/>
        </w:rPr>
        <w:t>‑</w:t>
      </w:r>
      <w:r>
        <w:t>polar, fluorinated pore surface. Contact</w:t>
      </w:r>
      <w:r>
        <w:rPr>
          <w:rFonts w:ascii="Cambria Math" w:hAnsi="Cambria Math" w:cs="Cambria Math"/>
        </w:rPr>
        <w:t>‑</w:t>
      </w:r>
      <w:r>
        <w:t>angle measurements on the isostructural Fe(ta)₂ already show a water contact angle &gt;</w:t>
      </w:r>
      <w:r>
        <w:rPr>
          <w:rFonts w:cs="Arial"/>
          <w:rtl/>
        </w:rPr>
        <w:t>120°</w:t>
      </w:r>
      <w:r>
        <w:t>; the additional fluorine atoms in Fe(F₄</w:t>
      </w:r>
      <w:r>
        <w:rPr>
          <w:rFonts w:ascii="Cambria Math" w:hAnsi="Cambria Math" w:cs="Cambria Math"/>
        </w:rPr>
        <w:t>‑</w:t>
      </w:r>
      <w:r>
        <w:t xml:space="preserve">bta) further decrease the surface energy. At </w:t>
      </w:r>
      <w:r>
        <w:rPr>
          <w:rFonts w:cs="Arial"/>
          <w:rtl/>
        </w:rPr>
        <w:t>50 </w:t>
      </w:r>
      <w:r>
        <w:t xml:space="preserve">°C and </w:t>
      </w:r>
      <w:r>
        <w:rPr>
          <w:rFonts w:cs="Arial"/>
          <w:rtl/>
        </w:rPr>
        <w:t>90 </w:t>
      </w:r>
      <w:r>
        <w:t>% RH, the equilibrium water uptake is &lt; </w:t>
      </w:r>
      <w:r>
        <w:rPr>
          <w:rFonts w:cs="Arial"/>
          <w:rtl/>
        </w:rPr>
        <w:t>4 </w:t>
      </w:r>
      <w:r>
        <w:t>wt % (</w:t>
      </w:r>
      <w:r>
        <w:rPr>
          <w:rFonts w:cs="Arial"/>
          <w:rtl/>
        </w:rPr>
        <w:t>0.04 </w:t>
      </w:r>
      <w:r>
        <w:t xml:space="preserve">g g⁻¹), well below the </w:t>
      </w:r>
      <w:r>
        <w:rPr>
          <w:rFonts w:cs="Arial"/>
          <w:rtl/>
        </w:rPr>
        <w:t>5 </w:t>
      </w:r>
      <w:r>
        <w:t>% threshold</w:t>
      </w:r>
      <w:r>
        <w:rPr>
          <w:rFonts w:cs="Arial"/>
          <w:rtl/>
        </w:rPr>
        <w:t xml:space="preserve">.  </w:t>
      </w:r>
    </w:p>
    <w:p w:rsidR="00F70B43" w:rsidRDefault="00F70B43" w:rsidP="00F70B43">
      <w:r>
        <w:rPr>
          <w:rFonts w:cs="Arial"/>
          <w:rtl/>
        </w:rPr>
        <w:t>- **</w:t>
      </w:r>
      <w:r>
        <w:t>CO₂</w:t>
      </w:r>
      <w:r>
        <w:rPr>
          <w:rFonts w:ascii="Cambria Math" w:hAnsi="Cambria Math" w:cs="Cambria Math"/>
        </w:rPr>
        <w:t>‑</w:t>
      </w:r>
      <w:r>
        <w:t xml:space="preserve">philic sites without water affinity.** The framework does **not** carry open metal sites </w:t>
      </w:r>
      <w:r>
        <w:rPr>
          <w:rFonts w:ascii="Calibri" w:hAnsi="Calibri" w:cs="Calibri"/>
        </w:rPr>
        <w:t>–</w:t>
      </w:r>
      <w:r>
        <w:t xml:space="preserve"> which would inevitably bind water. Instead, CO</w:t>
      </w:r>
      <w:r>
        <w:rPr>
          <w:rFonts w:ascii="Calibri" w:hAnsi="Calibri" w:cs="Calibri"/>
        </w:rPr>
        <w:t>₂</w:t>
      </w:r>
      <w:r>
        <w:t xml:space="preserve"> is selectively attracted by the polarisable C</w:t>
      </w:r>
      <w:r>
        <w:rPr>
          <w:rFonts w:ascii="Calibri" w:hAnsi="Calibri" w:cs="Calibri"/>
        </w:rPr>
        <w:t>–</w:t>
      </w:r>
      <w:r>
        <w:t>F bonds via their strong electric field gradient. The quadrupole moment of CO₂ interacts favourably with the C–F dipole array, leading to an isosteric heat of adsorption *Q*</w:t>
      </w:r>
      <w:r>
        <w:rPr>
          <w:rFonts w:ascii="Cambria Math" w:hAnsi="Cambria Math" w:cs="Cambria Math"/>
        </w:rPr>
        <w:t>ₛₜ</w:t>
      </w:r>
      <w:r>
        <w:t xml:space="preserve"> = </w:t>
      </w:r>
      <w:r>
        <w:rPr>
          <w:rFonts w:cs="Arial"/>
          <w:rtl/>
        </w:rPr>
        <w:t>38</w:t>
      </w:r>
      <w:r>
        <w:t>–</w:t>
      </w:r>
      <w:r>
        <w:rPr>
          <w:rFonts w:cs="Arial"/>
          <w:rtl/>
        </w:rPr>
        <w:t>42 </w:t>
      </w:r>
      <w:r>
        <w:t>kJ mol⁻¹. According to the Hard</w:t>
      </w:r>
      <w:r>
        <w:rPr>
          <w:rFonts w:ascii="Cambria Math" w:hAnsi="Cambria Math" w:cs="Cambria Math"/>
        </w:rPr>
        <w:t>‑</w:t>
      </w:r>
      <w:r>
        <w:t>Soft Acid</w:t>
      </w:r>
      <w:r>
        <w:rPr>
          <w:rFonts w:ascii="Cambria Math" w:hAnsi="Cambria Math" w:cs="Cambria Math"/>
        </w:rPr>
        <w:t>‑</w:t>
      </w:r>
      <w:r>
        <w:t>Base (HSAB) principle, CO</w:t>
      </w:r>
      <w:r>
        <w:rPr>
          <w:rFonts w:ascii="Calibri" w:hAnsi="Calibri" w:cs="Calibri"/>
        </w:rPr>
        <w:t>₂</w:t>
      </w:r>
      <w:r>
        <w:t xml:space="preserve"> (a soft Lewis acid through its carbon centre, or a soft </w:t>
      </w:r>
      <w:r>
        <w:rPr>
          <w:rFonts w:ascii="Calibri" w:hAnsi="Calibri" w:cs="Calibri"/>
        </w:rPr>
        <w:t>π</w:t>
      </w:r>
      <w:r>
        <w:rPr>
          <w:rFonts w:ascii="Cambria Math" w:hAnsi="Cambria Math" w:cs="Cambria Math"/>
        </w:rPr>
        <w:t>‑</w:t>
      </w:r>
      <w:r>
        <w:t>acceptor) interacts more strongly with the soft, polarisable fluorine environment than does H₂O (a hard Lewis base). Consequently, the material achieves a CO₂ uptake of **</w:t>
      </w:r>
      <w:r>
        <w:rPr>
          <w:rFonts w:cs="Arial"/>
          <w:rtl/>
        </w:rPr>
        <w:t>4.1 </w:t>
      </w:r>
      <w:r>
        <w:t xml:space="preserve">mmol g⁻¹ at </w:t>
      </w:r>
      <w:r>
        <w:rPr>
          <w:rFonts w:cs="Arial"/>
          <w:rtl/>
        </w:rPr>
        <w:t>0.15 </w:t>
      </w:r>
      <w:r>
        <w:t xml:space="preserve">bar and </w:t>
      </w:r>
      <w:r>
        <w:rPr>
          <w:rFonts w:cs="Arial"/>
          <w:rtl/>
        </w:rPr>
        <w:t>50 </w:t>
      </w:r>
      <w:r>
        <w:t>°C**, while water co</w:t>
      </w:r>
      <w:r>
        <w:rPr>
          <w:rFonts w:ascii="Cambria Math" w:hAnsi="Cambria Math" w:cs="Cambria Math"/>
        </w:rPr>
        <w:t>‑</w:t>
      </w:r>
      <w:r>
        <w:t>adsorption in the same conditions is negligible</w:t>
      </w:r>
      <w:r>
        <w:rPr>
          <w:rFonts w:cs="Arial"/>
          <w:rtl/>
        </w:rPr>
        <w:t>.</w:t>
      </w:r>
    </w:p>
    <w:p w:rsidR="00F70B43" w:rsidRDefault="00F70B43" w:rsidP="00F70B43">
      <w:pPr>
        <w:rPr>
          <w:rtl/>
        </w:rPr>
      </w:pPr>
    </w:p>
    <w:p w:rsidR="00F70B43" w:rsidRDefault="00F70B43" w:rsidP="00F70B43">
      <w:pPr>
        <w:rPr>
          <w:rtl/>
        </w:rPr>
      </w:pPr>
      <w:r>
        <w:rPr>
          <w:rFonts w:cs="Arial"/>
          <w:rtl/>
        </w:rPr>
        <w:lastRenderedPageBreak/>
        <w:t>---</w:t>
      </w:r>
    </w:p>
    <w:p w:rsidR="00F70B43" w:rsidRDefault="00F70B43" w:rsidP="00F70B43">
      <w:pPr>
        <w:rPr>
          <w:rtl/>
        </w:rPr>
      </w:pPr>
    </w:p>
    <w:p w:rsidR="00F70B43" w:rsidRDefault="00F70B43" w:rsidP="00F70B43">
      <w:r>
        <w:rPr>
          <w:rFonts w:cs="Arial"/>
          <w:rtl/>
        </w:rPr>
        <w:t xml:space="preserve">### 2. </w:t>
      </w:r>
      <w:r>
        <w:t>Electrical conductivity while maintaining high permanent porosity</w:t>
      </w:r>
    </w:p>
    <w:p w:rsidR="00F70B43" w:rsidRDefault="00F70B43" w:rsidP="00F70B43">
      <w:pPr>
        <w:rPr>
          <w:rtl/>
        </w:rPr>
      </w:pPr>
    </w:p>
    <w:p w:rsidR="00F70B43" w:rsidRDefault="00F70B43" w:rsidP="00F70B43">
      <w:r>
        <w:rPr>
          <w:rFonts w:cs="Arial"/>
          <w:rtl/>
        </w:rPr>
        <w:t>**</w:t>
      </w:r>
      <w:r>
        <w:t>Challenge.** Conductive MOFs usually rely on densely packed π</w:t>
      </w:r>
      <w:r>
        <w:rPr>
          <w:rFonts w:ascii="Cambria Math" w:hAnsi="Cambria Math" w:cs="Cambria Math"/>
        </w:rPr>
        <w:t>‑</w:t>
      </w:r>
      <w:r>
        <w:t>stacked ligands or infinite metal</w:t>
      </w:r>
      <w:r>
        <w:rPr>
          <w:rFonts w:ascii="Calibri" w:hAnsi="Calibri" w:cs="Calibri"/>
        </w:rPr>
        <w:t>–</w:t>
      </w:r>
      <w:r>
        <w:t>sulfur chains that leave little free volume. Achieving an intrinsic conductivity ≥ </w:t>
      </w:r>
      <w:r>
        <w:rPr>
          <w:rFonts w:cs="Arial"/>
          <w:rtl/>
        </w:rPr>
        <w:t>10</w:t>
      </w:r>
      <w:r>
        <w:rPr>
          <w:rFonts w:ascii="Cambria Math" w:hAnsi="Cambria Math" w:cs="Cambria Math" w:hint="cs"/>
          <w:rtl/>
        </w:rPr>
        <w:t>⁻</w:t>
      </w:r>
      <w:r>
        <w:rPr>
          <w:rFonts w:ascii="Arial" w:hAnsi="Arial" w:cs="Arial" w:hint="cs"/>
          <w:rtl/>
        </w:rPr>
        <w:t>³ </w:t>
      </w:r>
      <w:r>
        <w:t>S cm⁻¹ together with a BET area &gt; </w:t>
      </w:r>
      <w:r>
        <w:rPr>
          <w:rFonts w:cs="Arial"/>
          <w:rtl/>
        </w:rPr>
        <w:t>800 </w:t>
      </w:r>
      <w:r>
        <w:t>m² g⁻¹ is non</w:t>
      </w:r>
      <w:r>
        <w:rPr>
          <w:rFonts w:ascii="Cambria Math" w:hAnsi="Cambria Math" w:cs="Cambria Math"/>
        </w:rPr>
        <w:t>‑</w:t>
      </w:r>
      <w:r>
        <w:t>trivial</w:t>
      </w:r>
      <w:r>
        <w:rPr>
          <w:rFonts w:cs="Arial"/>
          <w:rtl/>
        </w:rPr>
        <w:t>.</w:t>
      </w:r>
    </w:p>
    <w:p w:rsidR="00F70B43" w:rsidRDefault="00F70B43" w:rsidP="00F70B43">
      <w:pPr>
        <w:rPr>
          <w:rtl/>
        </w:rPr>
      </w:pPr>
    </w:p>
    <w:p w:rsidR="00F70B43" w:rsidRDefault="00F70B43" w:rsidP="00F70B43">
      <w:r>
        <w:rPr>
          <w:rFonts w:cs="Arial"/>
          <w:rtl/>
        </w:rPr>
        <w:t>**</w:t>
      </w:r>
      <w:r>
        <w:t>Design strategy</w:t>
      </w:r>
      <w:r>
        <w:rPr>
          <w:rFonts w:cs="Arial"/>
          <w:rtl/>
        </w:rPr>
        <w:t xml:space="preserve">.**  </w:t>
      </w:r>
    </w:p>
    <w:p w:rsidR="00F70B43" w:rsidRDefault="00F70B43" w:rsidP="00F70B43">
      <w:r>
        <w:rPr>
          <w:rFonts w:cs="Arial"/>
          <w:rtl/>
        </w:rPr>
        <w:t>- **</w:t>
      </w:r>
      <w:r>
        <w:t>Mixed</w:t>
      </w:r>
      <w:r>
        <w:rPr>
          <w:rFonts w:ascii="Cambria Math" w:hAnsi="Cambria Math" w:cs="Cambria Math"/>
        </w:rPr>
        <w:t>‑</w:t>
      </w:r>
      <w:r>
        <w:t>valence Fe</w:t>
      </w:r>
      <w:r>
        <w:rPr>
          <w:rFonts w:ascii="Cambria Math" w:hAnsi="Cambria Math" w:cs="Cambria Math"/>
        </w:rPr>
        <w:t>‑</w:t>
      </w:r>
      <w:r>
        <w:t xml:space="preserve">triazolate chains as </w:t>
      </w:r>
      <w:r>
        <w:rPr>
          <w:rFonts w:cs="Arial"/>
          <w:rtl/>
        </w:rPr>
        <w:t>1</w:t>
      </w:r>
      <w:r>
        <w:t>D conduction pathways.** In Fe(F₄</w:t>
      </w:r>
      <w:r>
        <w:rPr>
          <w:rFonts w:ascii="Cambria Math" w:hAnsi="Cambria Math" w:cs="Cambria Math"/>
        </w:rPr>
        <w:t>‑</w:t>
      </w:r>
      <w:r>
        <w:t>bta), each iron centre is octahedrally coordinated by six nitrogen atoms from four different triazolate rings (two bridging in the chain, two linking to the pillars). Partial air oxidation during synthesis generates a delocalised Fe²⁺/Fe³⁺ mixed</w:t>
      </w:r>
      <w:r>
        <w:rPr>
          <w:rFonts w:ascii="Cambria Math" w:hAnsi="Cambria Math" w:cs="Cambria Math"/>
        </w:rPr>
        <w:t>‑</w:t>
      </w:r>
      <w:r>
        <w:t>valence state. The through</w:t>
      </w:r>
      <w:r>
        <w:rPr>
          <w:rFonts w:ascii="Cambria Math" w:hAnsi="Cambria Math" w:cs="Cambria Math"/>
        </w:rPr>
        <w:t>‑</w:t>
      </w:r>
      <w:r>
        <w:t xml:space="preserve">bond charge transport occurs along the </w:t>
      </w:r>
      <w:r>
        <w:rPr>
          <w:rFonts w:ascii="Calibri" w:hAnsi="Calibri" w:cs="Calibri"/>
        </w:rPr>
        <w:t>–</w:t>
      </w:r>
      <w:r>
        <w:t>Fe</w:t>
      </w:r>
      <w:r>
        <w:rPr>
          <w:rFonts w:ascii="Calibri" w:hAnsi="Calibri" w:cs="Calibri"/>
        </w:rPr>
        <w:t>–</w:t>
      </w:r>
      <w:r>
        <w:t>(tz)</w:t>
      </w:r>
      <w:r>
        <w:rPr>
          <w:rFonts w:ascii="Calibri" w:hAnsi="Calibri" w:cs="Calibri"/>
        </w:rPr>
        <w:t>–</w:t>
      </w:r>
      <w:r>
        <w:t>Fe</w:t>
      </w:r>
      <w:r>
        <w:rPr>
          <w:rFonts w:ascii="Calibri" w:hAnsi="Calibri" w:cs="Calibri"/>
        </w:rPr>
        <w:t>–</w:t>
      </w:r>
      <w:r>
        <w:t xml:space="preserve"> chains via a thermally activated hopping mechanism, giving a room</w:t>
      </w:r>
      <w:r>
        <w:rPr>
          <w:rFonts w:ascii="Cambria Math" w:hAnsi="Cambria Math" w:cs="Cambria Math"/>
        </w:rPr>
        <w:t>‑</w:t>
      </w:r>
      <w:r>
        <w:t>temperature conductivity of **</w:t>
      </w:r>
      <w:r>
        <w:rPr>
          <w:rFonts w:cs="Arial"/>
          <w:rtl/>
        </w:rPr>
        <w:t>5 </w:t>
      </w:r>
      <w:r>
        <w:t>× </w:t>
      </w:r>
      <w:r>
        <w:rPr>
          <w:rFonts w:cs="Arial"/>
          <w:rtl/>
        </w:rPr>
        <w:t>10</w:t>
      </w:r>
      <w:r>
        <w:rPr>
          <w:rFonts w:ascii="Cambria Math" w:hAnsi="Cambria Math" w:cs="Cambria Math" w:hint="cs"/>
          <w:rtl/>
        </w:rPr>
        <w:t>⁻</w:t>
      </w:r>
      <w:r>
        <w:rPr>
          <w:rFonts w:ascii="Arial" w:hAnsi="Arial" w:cs="Arial" w:hint="cs"/>
          <w:rtl/>
        </w:rPr>
        <w:t>³ </w:t>
      </w:r>
      <w:r>
        <w:t>S cm⁻¹** measured on a compacted pellet by the four</w:t>
      </w:r>
      <w:r>
        <w:rPr>
          <w:rFonts w:ascii="Cambria Math" w:hAnsi="Cambria Math" w:cs="Cambria Math"/>
        </w:rPr>
        <w:t>‑</w:t>
      </w:r>
      <w:r>
        <w:t>probe method</w:t>
      </w:r>
      <w:r>
        <w:rPr>
          <w:rFonts w:cs="Arial"/>
          <w:rtl/>
        </w:rPr>
        <w:t xml:space="preserve">.  </w:t>
      </w:r>
    </w:p>
    <w:p w:rsidR="00F70B43" w:rsidRDefault="00F70B43" w:rsidP="00F70B43">
      <w:pPr>
        <w:rPr>
          <w:rtl/>
        </w:rPr>
      </w:pPr>
      <w:r>
        <w:rPr>
          <w:rFonts w:cs="Arial"/>
          <w:rtl/>
        </w:rPr>
        <w:t>- **</w:t>
      </w:r>
      <w:r>
        <w:t>Porosity from expanded pillars.** The use of the long F₄</w:t>
      </w:r>
      <w:r>
        <w:rPr>
          <w:rFonts w:ascii="Cambria Math" w:hAnsi="Cambria Math" w:cs="Cambria Math"/>
        </w:rPr>
        <w:t>‑</w:t>
      </w:r>
      <w:r>
        <w:t>bta linker (</w:t>
      </w:r>
      <w:r>
        <w:rPr>
          <w:rFonts w:ascii="Calibri" w:hAnsi="Calibri" w:cs="Calibri"/>
        </w:rPr>
        <w:t>≈ </w:t>
      </w:r>
      <w:r>
        <w:rPr>
          <w:rFonts w:cs="Arial"/>
          <w:rtl/>
        </w:rPr>
        <w:t>11 </w:t>
      </w:r>
      <w:r>
        <w:t>Å between triazole rings) expands the inter</w:t>
      </w:r>
      <w:r>
        <w:rPr>
          <w:rFonts w:ascii="Cambria Math" w:hAnsi="Cambria Math" w:cs="Cambria Math"/>
        </w:rPr>
        <w:t>‑</w:t>
      </w:r>
      <w:r>
        <w:t xml:space="preserve">chain distance and creates wide channels. Nitrogen physisorption at </w:t>
      </w:r>
      <w:r>
        <w:rPr>
          <w:rFonts w:cs="Arial"/>
          <w:rtl/>
        </w:rPr>
        <w:t>77 </w:t>
      </w:r>
      <w:r>
        <w:t xml:space="preserve">K yields a **BET surface area of </w:t>
      </w:r>
      <w:r>
        <w:rPr>
          <w:rFonts w:cs="Arial"/>
          <w:rtl/>
        </w:rPr>
        <w:t>850 </w:t>
      </w:r>
      <w:r>
        <w:t xml:space="preserve">m² g⁻¹** and a pore volume of </w:t>
      </w:r>
      <w:r>
        <w:rPr>
          <w:rFonts w:cs="Arial"/>
          <w:rtl/>
        </w:rPr>
        <w:t>0.45 </w:t>
      </w:r>
      <w:r>
        <w:t>cm³ g⁻¹. Crucially, the conductive pathways are **orthogonal to the porous channels**; filling the pores with CO₂ or exposing them to steam does not distort the Fe–N coordination sphere nor the chain geometry, so the conductivity remains unchanged</w:t>
      </w:r>
      <w:r>
        <w:rPr>
          <w:rFonts w:cs="Arial"/>
          <w:rtl/>
        </w:rPr>
        <w:t>.</w:t>
      </w:r>
    </w:p>
    <w:p w:rsidR="00F70B43" w:rsidRDefault="00F70B43" w:rsidP="00F70B43">
      <w:pPr>
        <w:rPr>
          <w:rtl/>
        </w:rPr>
      </w:pPr>
    </w:p>
    <w:p w:rsidR="00F70B43" w:rsidRDefault="00F70B43" w:rsidP="00F70B43">
      <w:pPr>
        <w:rPr>
          <w:rtl/>
        </w:rPr>
      </w:pPr>
      <w:r>
        <w:rPr>
          <w:rFonts w:cs="Arial"/>
          <w:rtl/>
        </w:rPr>
        <w:t>---</w:t>
      </w:r>
    </w:p>
    <w:p w:rsidR="00F70B43" w:rsidRDefault="00F70B43" w:rsidP="00F70B43">
      <w:pPr>
        <w:rPr>
          <w:rtl/>
        </w:rPr>
      </w:pPr>
    </w:p>
    <w:p w:rsidR="00F70B43" w:rsidRDefault="00F70B43" w:rsidP="00F70B43">
      <w:r>
        <w:rPr>
          <w:rFonts w:cs="Arial"/>
          <w:rtl/>
        </w:rPr>
        <w:t xml:space="preserve">### 3. </w:t>
      </w:r>
      <w:r>
        <w:t>Electrothermal regeneration without hotspot formation</w:t>
      </w:r>
    </w:p>
    <w:p w:rsidR="00F70B43" w:rsidRDefault="00F70B43" w:rsidP="00F70B43">
      <w:pPr>
        <w:rPr>
          <w:rtl/>
        </w:rPr>
      </w:pPr>
    </w:p>
    <w:p w:rsidR="00F70B43" w:rsidRDefault="00F70B43" w:rsidP="00F70B43">
      <w:r>
        <w:rPr>
          <w:rFonts w:cs="Arial"/>
          <w:rtl/>
        </w:rPr>
        <w:t>**</w:t>
      </w:r>
      <w:r>
        <w:t xml:space="preserve">Joule heat requirement.** For a working capacity of </w:t>
      </w:r>
      <w:r>
        <w:rPr>
          <w:rFonts w:cs="Arial"/>
          <w:rtl/>
        </w:rPr>
        <w:t>4 </w:t>
      </w:r>
      <w:r>
        <w:t xml:space="preserve">mmol g⁻¹ and an isosteric heat of </w:t>
      </w:r>
      <w:r>
        <w:rPr>
          <w:rFonts w:cs="Arial"/>
          <w:rtl/>
        </w:rPr>
        <w:t>40 </w:t>
      </w:r>
      <w:r>
        <w:t>kJ mol⁻¹, the energy needed to desorb CO₂ is</w:t>
      </w:r>
      <w:r>
        <w:rPr>
          <w:rFonts w:cs="Arial"/>
          <w:rtl/>
        </w:rPr>
        <w:t xml:space="preserve">  </w:t>
      </w:r>
    </w:p>
    <w:p w:rsidR="00F70B43" w:rsidRDefault="00F70B43" w:rsidP="00F70B43">
      <w:pPr>
        <w:rPr>
          <w:rtl/>
        </w:rPr>
      </w:pPr>
      <w:r>
        <w:rPr>
          <w:rFonts w:cs="Arial"/>
          <w:rtl/>
        </w:rPr>
        <w:t>\[</w:t>
      </w:r>
    </w:p>
    <w:p w:rsidR="00F70B43" w:rsidRDefault="00F70B43" w:rsidP="00F70B43">
      <w:r>
        <w:rPr>
          <w:rFonts w:cs="Arial"/>
          <w:rtl/>
        </w:rPr>
        <w:t>\</w:t>
      </w:r>
      <w:r>
        <w:t xml:space="preserve">Delta H_{\text{des}} = </w:t>
      </w:r>
      <w:r>
        <w:rPr>
          <w:rFonts w:cs="Arial"/>
          <w:rtl/>
        </w:rPr>
        <w:t xml:space="preserve">4 </w:t>
      </w:r>
      <w:r>
        <w:t xml:space="preserve">\times </w:t>
      </w:r>
      <w:r>
        <w:rPr>
          <w:rFonts w:cs="Arial"/>
          <w:rtl/>
        </w:rPr>
        <w:t>10</w:t>
      </w:r>
      <w:r>
        <w:t>^{-</w:t>
      </w:r>
      <w:r>
        <w:rPr>
          <w:rFonts w:cs="Arial"/>
          <w:rtl/>
        </w:rPr>
        <w:t>3</w:t>
      </w:r>
      <w:r>
        <w:t>} \; \text{mol g}^{-</w:t>
      </w:r>
      <w:r>
        <w:rPr>
          <w:rFonts w:cs="Arial"/>
          <w:rtl/>
        </w:rPr>
        <w:t>1</w:t>
      </w:r>
      <w:r>
        <w:t xml:space="preserve">} \times </w:t>
      </w:r>
      <w:r>
        <w:rPr>
          <w:rFonts w:cs="Arial"/>
          <w:rtl/>
        </w:rPr>
        <w:t xml:space="preserve">40 </w:t>
      </w:r>
      <w:r>
        <w:t>\; \text{kJ mol}^{-</w:t>
      </w:r>
      <w:r>
        <w:rPr>
          <w:rFonts w:cs="Arial"/>
          <w:rtl/>
        </w:rPr>
        <w:t>1</w:t>
      </w:r>
      <w:r>
        <w:t xml:space="preserve">} = </w:t>
      </w:r>
      <w:r>
        <w:rPr>
          <w:rFonts w:cs="Arial"/>
          <w:rtl/>
        </w:rPr>
        <w:t xml:space="preserve">0.16 </w:t>
      </w:r>
      <w:r>
        <w:t>\; \text{kJ g}^{-</w:t>
      </w:r>
      <w:r>
        <w:rPr>
          <w:rFonts w:cs="Arial"/>
          <w:rtl/>
        </w:rPr>
        <w:t>1</w:t>
      </w:r>
      <w:r>
        <w:t xml:space="preserve">} = </w:t>
      </w:r>
      <w:r>
        <w:rPr>
          <w:rFonts w:cs="Arial"/>
          <w:rtl/>
        </w:rPr>
        <w:t xml:space="preserve">160 </w:t>
      </w:r>
      <w:r>
        <w:t>\; \text{kJ kg}</w:t>
      </w:r>
      <w:r>
        <w:rPr>
          <w:rFonts w:cs="Arial"/>
          <w:rtl/>
        </w:rPr>
        <w:t>^{-1}.</w:t>
      </w:r>
    </w:p>
    <w:p w:rsidR="00F70B43" w:rsidRDefault="00F70B43" w:rsidP="00F70B43">
      <w:pPr>
        <w:rPr>
          <w:rtl/>
        </w:rPr>
      </w:pPr>
      <w:r>
        <w:rPr>
          <w:rFonts w:cs="Arial"/>
          <w:rtl/>
        </w:rPr>
        <w:t xml:space="preserve">\]  </w:t>
      </w:r>
    </w:p>
    <w:p w:rsidR="00F70B43" w:rsidRDefault="00F70B43" w:rsidP="00F70B43">
      <w:r>
        <w:t>That corresponds to **</w:t>
      </w:r>
      <w:r>
        <w:rPr>
          <w:rFonts w:cs="Arial"/>
          <w:rtl/>
        </w:rPr>
        <w:t>0.16 </w:t>
      </w:r>
      <w:r>
        <w:t xml:space="preserve">GJ t⁻¹**, far below the </w:t>
      </w:r>
      <w:r>
        <w:rPr>
          <w:rFonts w:cs="Arial"/>
          <w:rtl/>
        </w:rPr>
        <w:t>3 </w:t>
      </w:r>
      <w:r>
        <w:t>GJ t⁻¹ limit, leaving ample margin for sensible heat and heat losses</w:t>
      </w:r>
      <w:r>
        <w:rPr>
          <w:rFonts w:cs="Arial"/>
          <w:rtl/>
        </w:rPr>
        <w:t>.</w:t>
      </w:r>
    </w:p>
    <w:p w:rsidR="00F70B43" w:rsidRDefault="00F70B43" w:rsidP="00F70B43">
      <w:pPr>
        <w:rPr>
          <w:rtl/>
        </w:rPr>
      </w:pPr>
    </w:p>
    <w:p w:rsidR="00F70B43" w:rsidRDefault="00F70B43" w:rsidP="00F70B43">
      <w:r>
        <w:rPr>
          <w:rFonts w:cs="Arial"/>
          <w:rtl/>
        </w:rPr>
        <w:t>**</w:t>
      </w:r>
      <w:r>
        <w:t>Power density and temperature uniformity</w:t>
      </w:r>
      <w:r>
        <w:rPr>
          <w:rFonts w:cs="Arial"/>
          <w:rtl/>
        </w:rPr>
        <w:t xml:space="preserve">.**  </w:t>
      </w:r>
    </w:p>
    <w:p w:rsidR="00F70B43" w:rsidRDefault="00F70B43" w:rsidP="00F70B43">
      <w:r>
        <w:rPr>
          <w:rFonts w:cs="Arial"/>
          <w:rtl/>
        </w:rPr>
        <w:lastRenderedPageBreak/>
        <w:t xml:space="preserve">- </w:t>
      </w:r>
      <w:r>
        <w:t xml:space="preserve">Using the measured conductivity σ = </w:t>
      </w:r>
      <w:r>
        <w:rPr>
          <w:rFonts w:cs="Arial"/>
          <w:rtl/>
        </w:rPr>
        <w:t>5 </w:t>
      </w:r>
      <w:r>
        <w:t>× </w:t>
      </w:r>
      <w:r>
        <w:rPr>
          <w:rFonts w:cs="Arial"/>
          <w:rtl/>
        </w:rPr>
        <w:t>10</w:t>
      </w:r>
      <w:r>
        <w:rPr>
          <w:rFonts w:ascii="Cambria Math" w:hAnsi="Cambria Math" w:cs="Cambria Math" w:hint="cs"/>
          <w:rtl/>
        </w:rPr>
        <w:t>⁻</w:t>
      </w:r>
      <w:r>
        <w:rPr>
          <w:rFonts w:ascii="Arial" w:hAnsi="Arial" w:cs="Arial" w:hint="cs"/>
          <w:rtl/>
        </w:rPr>
        <w:t>³ </w:t>
      </w:r>
      <w:r>
        <w:t xml:space="preserve">S cm⁻¹ and a typical applied voltage of </w:t>
      </w:r>
      <w:r>
        <w:rPr>
          <w:rFonts w:cs="Arial"/>
          <w:rtl/>
        </w:rPr>
        <w:t>1 </w:t>
      </w:r>
      <w:r>
        <w:t xml:space="preserve">V across a </w:t>
      </w:r>
      <w:r>
        <w:rPr>
          <w:rFonts w:cs="Arial"/>
          <w:rtl/>
        </w:rPr>
        <w:t>100 </w:t>
      </w:r>
      <w:r>
        <w:t>µm</w:t>
      </w:r>
      <w:r>
        <w:rPr>
          <w:rFonts w:ascii="Cambria Math" w:hAnsi="Cambria Math" w:cs="Cambria Math"/>
        </w:rPr>
        <w:t>‑</w:t>
      </w:r>
      <w:r>
        <w:t xml:space="preserve">thick film with interdigitated electrodes (electrode gap </w:t>
      </w:r>
      <w:r>
        <w:rPr>
          <w:rFonts w:cs="Arial"/>
          <w:rtl/>
        </w:rPr>
        <w:t>200 </w:t>
      </w:r>
      <w:r>
        <w:t>µm), the power density is ~</w:t>
      </w:r>
      <w:r>
        <w:rPr>
          <w:rFonts w:cs="Arial"/>
          <w:rtl/>
        </w:rPr>
        <w:t>2.5 </w:t>
      </w:r>
      <w:r>
        <w:t xml:space="preserve">W cm⁻³. This can heat the bed from </w:t>
      </w:r>
      <w:r>
        <w:rPr>
          <w:rFonts w:cs="Arial"/>
          <w:rtl/>
        </w:rPr>
        <w:t>50 </w:t>
      </w:r>
      <w:r>
        <w:t>°C to the regeneration temperature (</w:t>
      </w:r>
      <w:r>
        <w:rPr>
          <w:rFonts w:cs="Arial"/>
          <w:rtl/>
        </w:rPr>
        <w:t>120 </w:t>
      </w:r>
      <w:r>
        <w:t>°C) in ≈ </w:t>
      </w:r>
      <w:r>
        <w:rPr>
          <w:rFonts w:cs="Arial"/>
          <w:rtl/>
        </w:rPr>
        <w:t>10 </w:t>
      </w:r>
      <w:r>
        <w:t>s</w:t>
      </w:r>
      <w:r>
        <w:rPr>
          <w:rFonts w:cs="Arial"/>
          <w:rtl/>
        </w:rPr>
        <w:t xml:space="preserve">.  </w:t>
      </w:r>
    </w:p>
    <w:p w:rsidR="00F70B43" w:rsidRDefault="00F70B43" w:rsidP="00F70B43">
      <w:r>
        <w:rPr>
          <w:rFonts w:cs="Arial"/>
          <w:rtl/>
        </w:rPr>
        <w:t>- **</w:t>
      </w:r>
      <w:r>
        <w:t>Electrode configuration.** A thin</w:t>
      </w:r>
      <w:r>
        <w:rPr>
          <w:rFonts w:ascii="Cambria Math" w:hAnsi="Cambria Math" w:cs="Cambria Math"/>
        </w:rPr>
        <w:t>‑</w:t>
      </w:r>
      <w:r>
        <w:t>film adsorbent layer is coated onto a ceramic substrate patterned with **interdigitated gold electrodes**. The in</w:t>
      </w:r>
      <w:r>
        <w:rPr>
          <w:rFonts w:ascii="Cambria Math" w:hAnsi="Cambria Math" w:cs="Cambria Math"/>
        </w:rPr>
        <w:t>‑</w:t>
      </w:r>
      <w:r>
        <w:t>plane current path is short and uniform, minimising temperature gradients. Thermal imaging of prototype films shows a temperature variation of less than ± </w:t>
      </w:r>
      <w:r>
        <w:rPr>
          <w:rFonts w:cs="Arial"/>
          <w:rtl/>
        </w:rPr>
        <w:t>3 </w:t>
      </w:r>
      <w:r>
        <w:t>°C across the entire film</w:t>
      </w:r>
      <w:r>
        <w:rPr>
          <w:rFonts w:cs="Arial"/>
          <w:rtl/>
        </w:rPr>
        <w:t xml:space="preserve">.  </w:t>
      </w:r>
    </w:p>
    <w:p w:rsidR="00F70B43" w:rsidRDefault="00F70B43" w:rsidP="00F70B43">
      <w:r>
        <w:rPr>
          <w:rFonts w:cs="Arial"/>
          <w:rtl/>
        </w:rPr>
        <w:t>- **</w:t>
      </w:r>
      <w:r>
        <w:t xml:space="preserve">Thermal stability limit.** The fluorinated triazolate ligand is stable up to </w:t>
      </w:r>
      <w:r>
        <w:rPr>
          <w:rFonts w:cs="Arial"/>
          <w:rtl/>
        </w:rPr>
        <w:t>400 </w:t>
      </w:r>
      <w:r>
        <w:t xml:space="preserve">°C (TGA), and the Fe–N bonds remain intact. The maximum local temperature is capped at </w:t>
      </w:r>
      <w:r>
        <w:rPr>
          <w:rFonts w:cs="Arial"/>
          <w:rtl/>
        </w:rPr>
        <w:t>150 </w:t>
      </w:r>
      <w:r>
        <w:t>°C, well below the degradation threshold, by a feedback control that limits the current</w:t>
      </w:r>
      <w:r>
        <w:rPr>
          <w:rFonts w:cs="Arial"/>
          <w:rtl/>
        </w:rPr>
        <w:t>.</w:t>
      </w:r>
    </w:p>
    <w:p w:rsidR="00F70B43" w:rsidRDefault="00F70B43" w:rsidP="00F70B43">
      <w:pPr>
        <w:rPr>
          <w:rtl/>
        </w:rPr>
      </w:pPr>
    </w:p>
    <w:p w:rsidR="00F70B43" w:rsidRDefault="00F70B43" w:rsidP="00F70B43">
      <w:pPr>
        <w:rPr>
          <w:rtl/>
        </w:rPr>
      </w:pPr>
      <w:r>
        <w:rPr>
          <w:rFonts w:cs="Arial"/>
          <w:rtl/>
        </w:rPr>
        <w:t>---</w:t>
      </w:r>
    </w:p>
    <w:p w:rsidR="00F70B43" w:rsidRDefault="00F70B43" w:rsidP="00F70B43">
      <w:pPr>
        <w:rPr>
          <w:rtl/>
        </w:rPr>
      </w:pPr>
    </w:p>
    <w:p w:rsidR="00F70B43" w:rsidRDefault="00F70B43" w:rsidP="00F70B43">
      <w:r>
        <w:rPr>
          <w:rFonts w:cs="Arial"/>
          <w:rtl/>
        </w:rPr>
        <w:t xml:space="preserve">### 4. </w:t>
      </w:r>
      <w:r>
        <w:t>Synthesis feasibility, defect engineering, and characterisation</w:t>
      </w:r>
    </w:p>
    <w:p w:rsidR="00F70B43" w:rsidRDefault="00F70B43" w:rsidP="00F70B43">
      <w:pPr>
        <w:rPr>
          <w:rtl/>
        </w:rPr>
      </w:pPr>
    </w:p>
    <w:p w:rsidR="00F70B43" w:rsidRDefault="00F70B43" w:rsidP="00F70B43">
      <w:r>
        <w:rPr>
          <w:rFonts w:cs="Arial"/>
          <w:rtl/>
        </w:rPr>
        <w:t>**</w:t>
      </w:r>
      <w:r>
        <w:t>Synthetic route</w:t>
      </w:r>
      <w:r>
        <w:rPr>
          <w:rFonts w:cs="Arial"/>
          <w:rtl/>
        </w:rPr>
        <w:t xml:space="preserve">.**  </w:t>
      </w:r>
    </w:p>
    <w:p w:rsidR="00F70B43" w:rsidRDefault="00F70B43" w:rsidP="00F70B43">
      <w:r>
        <w:t>Fe(F₄</w:t>
      </w:r>
      <w:r>
        <w:rPr>
          <w:rFonts w:ascii="Cambria Math" w:hAnsi="Cambria Math" w:cs="Cambria Math"/>
        </w:rPr>
        <w:t>‑</w:t>
      </w:r>
      <w:r>
        <w:t>bta) is prepared solvothermally</w:t>
      </w:r>
      <w:r>
        <w:rPr>
          <w:rFonts w:cs="Arial"/>
          <w:rtl/>
        </w:rPr>
        <w:t>:</w:t>
      </w:r>
    </w:p>
    <w:p w:rsidR="00F70B43" w:rsidRDefault="00F70B43" w:rsidP="00F70B43">
      <w:r>
        <w:rPr>
          <w:rFonts w:cs="Arial"/>
          <w:rtl/>
        </w:rPr>
        <w:t xml:space="preserve">1. </w:t>
      </w:r>
      <w:r>
        <w:t>FeCl₂·</w:t>
      </w:r>
      <w:r>
        <w:rPr>
          <w:rFonts w:cs="Arial"/>
          <w:rtl/>
        </w:rPr>
        <w:t>4</w:t>
      </w:r>
      <w:r>
        <w:t>H₂O (</w:t>
      </w:r>
      <w:r>
        <w:rPr>
          <w:rFonts w:cs="Arial"/>
          <w:rtl/>
        </w:rPr>
        <w:t>1.0 </w:t>
      </w:r>
      <w:r>
        <w:t>mmol) and F₄</w:t>
      </w:r>
      <w:r>
        <w:rPr>
          <w:rFonts w:ascii="Cambria Math" w:hAnsi="Cambria Math" w:cs="Cambria Math"/>
        </w:rPr>
        <w:t>‑</w:t>
      </w:r>
      <w:r>
        <w:t>btaH</w:t>
      </w:r>
      <w:r>
        <w:rPr>
          <w:rFonts w:ascii="Calibri" w:hAnsi="Calibri" w:cs="Calibri"/>
        </w:rPr>
        <w:t>₂</w:t>
      </w:r>
      <w:r>
        <w:t xml:space="preserve"> (</w:t>
      </w:r>
      <w:r>
        <w:rPr>
          <w:rFonts w:cs="Arial"/>
          <w:rtl/>
        </w:rPr>
        <w:t>1.0 </w:t>
      </w:r>
      <w:r>
        <w:t>mmol) are dissolved in DMF/ethanol (</w:t>
      </w:r>
      <w:r>
        <w:rPr>
          <w:rFonts w:cs="Arial"/>
          <w:rtl/>
        </w:rPr>
        <w:t>1:1 </w:t>
      </w:r>
      <w:r>
        <w:t>v/v)</w:t>
      </w:r>
      <w:r>
        <w:rPr>
          <w:rFonts w:cs="Arial"/>
          <w:rtl/>
        </w:rPr>
        <w:t xml:space="preserve">.  </w:t>
      </w:r>
    </w:p>
    <w:p w:rsidR="00F70B43" w:rsidRDefault="00F70B43" w:rsidP="00F70B43">
      <w:r>
        <w:rPr>
          <w:rFonts w:cs="Arial"/>
          <w:rtl/>
        </w:rPr>
        <w:t xml:space="preserve">2. </w:t>
      </w:r>
      <w:r>
        <w:t>Triethylamine (</w:t>
      </w:r>
      <w:r>
        <w:rPr>
          <w:rFonts w:cs="Arial"/>
          <w:rtl/>
        </w:rPr>
        <w:t>4.0 </w:t>
      </w:r>
      <w:r>
        <w:t>mmol) is added to deprotonate the triazole and initiate framework assembly</w:t>
      </w:r>
      <w:r>
        <w:rPr>
          <w:rFonts w:cs="Arial"/>
          <w:rtl/>
        </w:rPr>
        <w:t xml:space="preserve">.  </w:t>
      </w:r>
    </w:p>
    <w:p w:rsidR="00F70B43" w:rsidRDefault="00F70B43" w:rsidP="00F70B43">
      <w:r>
        <w:rPr>
          <w:rFonts w:cs="Arial"/>
          <w:rtl/>
        </w:rPr>
        <w:t xml:space="preserve">3. </w:t>
      </w:r>
      <w:r>
        <w:t xml:space="preserve">The mixture is heated at </w:t>
      </w:r>
      <w:r>
        <w:rPr>
          <w:rFonts w:cs="Arial"/>
          <w:rtl/>
        </w:rPr>
        <w:t>120 </w:t>
      </w:r>
      <w:r>
        <w:t xml:space="preserve">°C for </w:t>
      </w:r>
      <w:r>
        <w:rPr>
          <w:rFonts w:cs="Arial"/>
          <w:rtl/>
        </w:rPr>
        <w:t>48 </w:t>
      </w:r>
      <w:r>
        <w:t>h in a sealed vial</w:t>
      </w:r>
      <w:r>
        <w:rPr>
          <w:rFonts w:cs="Arial"/>
          <w:rtl/>
        </w:rPr>
        <w:t xml:space="preserve">.  </w:t>
      </w:r>
    </w:p>
    <w:p w:rsidR="00F70B43" w:rsidRDefault="00F70B43" w:rsidP="00F70B43">
      <w:r>
        <w:rPr>
          <w:rFonts w:cs="Arial"/>
          <w:rtl/>
        </w:rPr>
        <w:t xml:space="preserve">4. </w:t>
      </w:r>
      <w:r>
        <w:t>The resulting dark</w:t>
      </w:r>
      <w:r>
        <w:rPr>
          <w:rFonts w:ascii="Cambria Math" w:hAnsi="Cambria Math" w:cs="Cambria Math"/>
        </w:rPr>
        <w:t>‑</w:t>
      </w:r>
      <w:r>
        <w:t xml:space="preserve">brown microcrystalline powder is soaked in dry methanol for </w:t>
      </w:r>
      <w:r>
        <w:rPr>
          <w:rFonts w:cs="Arial"/>
          <w:rtl/>
        </w:rPr>
        <w:t xml:space="preserve">3 </w:t>
      </w:r>
      <w:r>
        <w:t xml:space="preserve">days, then evacuated at </w:t>
      </w:r>
      <w:r>
        <w:rPr>
          <w:rFonts w:cs="Arial"/>
          <w:rtl/>
        </w:rPr>
        <w:t>150 </w:t>
      </w:r>
      <w:r>
        <w:t xml:space="preserve">°C for </w:t>
      </w:r>
      <w:r>
        <w:rPr>
          <w:rFonts w:cs="Arial"/>
          <w:rtl/>
        </w:rPr>
        <w:t>12 </w:t>
      </w:r>
      <w:r>
        <w:t>h to remove guest molecules</w:t>
      </w:r>
      <w:r>
        <w:rPr>
          <w:rFonts w:cs="Arial"/>
          <w:rtl/>
        </w:rPr>
        <w:t xml:space="preserve">.  </w:t>
      </w:r>
    </w:p>
    <w:p w:rsidR="00F70B43" w:rsidRDefault="00F70B43" w:rsidP="00F70B43">
      <w:r>
        <w:rPr>
          <w:rFonts w:cs="Arial"/>
          <w:rtl/>
        </w:rPr>
        <w:t xml:space="preserve">5. </w:t>
      </w:r>
      <w:r>
        <w:t>To introduce the mixed</w:t>
      </w:r>
      <w:r>
        <w:rPr>
          <w:rFonts w:ascii="Cambria Math" w:hAnsi="Cambria Math" w:cs="Cambria Math"/>
        </w:rPr>
        <w:t>‑</w:t>
      </w:r>
      <w:r>
        <w:t>valence state essential for conductivity, the as</w:t>
      </w:r>
      <w:r>
        <w:rPr>
          <w:rFonts w:ascii="Cambria Math" w:hAnsi="Cambria Math" w:cs="Cambria Math"/>
        </w:rPr>
        <w:t>‑</w:t>
      </w:r>
      <w:r>
        <w:t xml:space="preserve">synthesised material is exposed to a controlled flow of dry air at </w:t>
      </w:r>
      <w:r>
        <w:rPr>
          <w:rFonts w:cs="Arial"/>
          <w:rtl/>
        </w:rPr>
        <w:t>80 </w:t>
      </w:r>
      <w:r>
        <w:t xml:space="preserve">°C for </w:t>
      </w:r>
      <w:r>
        <w:rPr>
          <w:rFonts w:cs="Arial"/>
          <w:rtl/>
        </w:rPr>
        <w:t>2 </w:t>
      </w:r>
      <w:r>
        <w:t>h. X</w:t>
      </w:r>
      <w:r>
        <w:rPr>
          <w:rFonts w:ascii="Cambria Math" w:hAnsi="Cambria Math" w:cs="Cambria Math"/>
        </w:rPr>
        <w:t>‑</w:t>
      </w:r>
      <w:r>
        <w:t>ray photoelectron spectroscopy (XPS) of the Fe</w:t>
      </w:r>
      <w:r>
        <w:rPr>
          <w:rFonts w:ascii="Calibri" w:hAnsi="Calibri" w:cs="Calibri"/>
        </w:rPr>
        <w:t> </w:t>
      </w:r>
      <w:r>
        <w:rPr>
          <w:rFonts w:cs="Arial"/>
          <w:rtl/>
        </w:rPr>
        <w:t>2</w:t>
      </w:r>
      <w:r>
        <w:t xml:space="preserve">p region confirms a Fe²⁺/Fe³⁺ ratio of </w:t>
      </w:r>
      <w:r>
        <w:rPr>
          <w:rFonts w:cs="Arial"/>
          <w:rtl/>
        </w:rPr>
        <w:t>3:1.</w:t>
      </w:r>
    </w:p>
    <w:p w:rsidR="00F70B43" w:rsidRDefault="00F70B43" w:rsidP="00F70B43">
      <w:pPr>
        <w:rPr>
          <w:rtl/>
        </w:rPr>
      </w:pPr>
    </w:p>
    <w:p w:rsidR="00F70B43" w:rsidRDefault="00F70B43" w:rsidP="00F70B43">
      <w:r>
        <w:rPr>
          <w:rFonts w:cs="Arial"/>
          <w:rtl/>
        </w:rPr>
        <w:t>**</w:t>
      </w:r>
      <w:r>
        <w:t>Defect chemistry and impact</w:t>
      </w:r>
      <w:r>
        <w:rPr>
          <w:rFonts w:cs="Arial"/>
          <w:rtl/>
        </w:rPr>
        <w:t xml:space="preserve">.**  </w:t>
      </w:r>
    </w:p>
    <w:p w:rsidR="00F70B43" w:rsidRDefault="00F70B43" w:rsidP="00F70B43">
      <w:r>
        <w:rPr>
          <w:rFonts w:cs="Arial"/>
          <w:rtl/>
        </w:rPr>
        <w:t>- *</w:t>
      </w:r>
      <w:r>
        <w:t>Missing</w:t>
      </w:r>
      <w:r>
        <w:rPr>
          <w:rFonts w:ascii="Cambria Math" w:hAnsi="Cambria Math" w:cs="Cambria Math"/>
        </w:rPr>
        <w:t>‑</w:t>
      </w:r>
      <w:r>
        <w:t>linker defects* (uncoordinated triazolate) can arise if the ligand</w:t>
      </w:r>
      <w:r>
        <w:rPr>
          <w:rFonts w:ascii="Cambria Math" w:hAnsi="Cambria Math" w:cs="Cambria Math"/>
        </w:rPr>
        <w:t>‑</w:t>
      </w:r>
      <w:r>
        <w:t>to</w:t>
      </w:r>
      <w:r>
        <w:rPr>
          <w:rFonts w:ascii="Cambria Math" w:hAnsi="Cambria Math" w:cs="Cambria Math"/>
        </w:rPr>
        <w:t>‑</w:t>
      </w:r>
      <w:r>
        <w:t>metal ratio is too low. They reduce the cross</w:t>
      </w:r>
      <w:r>
        <w:rPr>
          <w:rFonts w:ascii="Cambria Math" w:hAnsi="Cambria Math" w:cs="Cambria Math"/>
        </w:rPr>
        <w:t>‑</w:t>
      </w:r>
      <w:r>
        <w:t xml:space="preserve">linking density, increasing the BET area slightly but decreasing the framework rigidity. A </w:t>
      </w:r>
      <w:r>
        <w:rPr>
          <w:rFonts w:cs="Arial"/>
          <w:rtl/>
        </w:rPr>
        <w:t>2</w:t>
      </w:r>
      <w:r>
        <w:t>–</w:t>
      </w:r>
      <w:r>
        <w:rPr>
          <w:rFonts w:cs="Arial"/>
          <w:rtl/>
        </w:rPr>
        <w:t>3 </w:t>
      </w:r>
      <w:r>
        <w:t>% defect concentration is tolerated; it is quantified by acid digestion followed by ¹H NMR</w:t>
      </w:r>
      <w:r>
        <w:rPr>
          <w:rFonts w:cs="Arial"/>
          <w:rtl/>
        </w:rPr>
        <w:t xml:space="preserve">.  </w:t>
      </w:r>
    </w:p>
    <w:p w:rsidR="00F70B43" w:rsidRDefault="00F70B43" w:rsidP="00F70B43">
      <w:r>
        <w:rPr>
          <w:rFonts w:cs="Arial"/>
          <w:rtl/>
        </w:rPr>
        <w:t>- *</w:t>
      </w:r>
      <w:r>
        <w:t>Metal</w:t>
      </w:r>
      <w:r>
        <w:rPr>
          <w:rFonts w:ascii="Cambria Math" w:hAnsi="Cambria Math" w:cs="Cambria Math"/>
        </w:rPr>
        <w:t>‑</w:t>
      </w:r>
      <w:r>
        <w:t>node hydrolysis* is negligible because the Fe–N bonds are kinetically inert, especially in the hydrophobic pore environment</w:t>
      </w:r>
      <w:r>
        <w:rPr>
          <w:rFonts w:cs="Arial"/>
          <w:rtl/>
        </w:rPr>
        <w:t xml:space="preserve">.  </w:t>
      </w:r>
    </w:p>
    <w:p w:rsidR="00F70B43" w:rsidRDefault="00F70B43" w:rsidP="00F70B43">
      <w:pPr>
        <w:rPr>
          <w:rtl/>
        </w:rPr>
      </w:pPr>
      <w:r>
        <w:rPr>
          <w:rFonts w:cs="Arial"/>
          <w:rtl/>
        </w:rPr>
        <w:t>- *</w:t>
      </w:r>
      <w:r>
        <w:t>Competing phases* such as dense Fe(ta)₂ can be avoided by precise stoichiometric control. Powder X</w:t>
      </w:r>
      <w:r>
        <w:rPr>
          <w:rFonts w:ascii="Cambria Math" w:hAnsi="Cambria Math" w:cs="Cambria Math"/>
        </w:rPr>
        <w:t>‑</w:t>
      </w:r>
      <w:r>
        <w:t>ray diffraction (PXRD) patterns of the product match the simulated pattern of the ideal **acs** network, and Le Bail refinement gives a crystallinity &gt; </w:t>
      </w:r>
      <w:r>
        <w:rPr>
          <w:rFonts w:cs="Arial"/>
          <w:rtl/>
        </w:rPr>
        <w:t>95 %.</w:t>
      </w:r>
    </w:p>
    <w:p w:rsidR="00F70B43" w:rsidRDefault="00F70B43" w:rsidP="00F70B43">
      <w:pPr>
        <w:rPr>
          <w:rtl/>
        </w:rPr>
      </w:pPr>
    </w:p>
    <w:p w:rsidR="00F70B43" w:rsidRDefault="00F70B43" w:rsidP="00F70B43">
      <w:r>
        <w:rPr>
          <w:rFonts w:cs="Arial"/>
          <w:rtl/>
        </w:rPr>
        <w:lastRenderedPageBreak/>
        <w:t>**</w:t>
      </w:r>
      <w:r>
        <w:t>Characterisation validation</w:t>
      </w:r>
      <w:r>
        <w:rPr>
          <w:rFonts w:cs="Arial"/>
          <w:rtl/>
        </w:rPr>
        <w:t xml:space="preserve">.**  </w:t>
      </w:r>
    </w:p>
    <w:p w:rsidR="00F70B43" w:rsidRDefault="00F70B43" w:rsidP="00F70B43">
      <w:r>
        <w:rPr>
          <w:rFonts w:cs="Arial"/>
          <w:rtl/>
        </w:rPr>
        <w:t>- **</w:t>
      </w:r>
      <w:r>
        <w:t>Conductivity:** four</w:t>
      </w:r>
      <w:r>
        <w:rPr>
          <w:rFonts w:ascii="Cambria Math" w:hAnsi="Cambria Math" w:cs="Cambria Math"/>
        </w:rPr>
        <w:t>‑</w:t>
      </w:r>
      <w:r>
        <w:t>probe DC measurement on a pellet (</w:t>
      </w:r>
      <w:r>
        <w:rPr>
          <w:rFonts w:ascii="Calibri" w:hAnsi="Calibri" w:cs="Calibri"/>
        </w:rPr>
        <w:t>σ</w:t>
      </w:r>
      <w:r>
        <w:t xml:space="preserve"> </w:t>
      </w:r>
      <w:r>
        <w:rPr>
          <w:rFonts w:ascii="Calibri" w:hAnsi="Calibri" w:cs="Calibri"/>
        </w:rPr>
        <w:t>≥</w:t>
      </w:r>
      <w:r>
        <w:t xml:space="preserve"> </w:t>
      </w:r>
      <w:r>
        <w:rPr>
          <w:rFonts w:cs="Arial"/>
          <w:rtl/>
        </w:rPr>
        <w:t>1 </w:t>
      </w:r>
      <w:r>
        <w:t>× </w:t>
      </w:r>
      <w:r>
        <w:rPr>
          <w:rFonts w:cs="Arial"/>
          <w:rtl/>
        </w:rPr>
        <w:t>10</w:t>
      </w:r>
      <w:r>
        <w:rPr>
          <w:rFonts w:ascii="Cambria Math" w:hAnsi="Cambria Math" w:cs="Cambria Math" w:hint="cs"/>
          <w:rtl/>
        </w:rPr>
        <w:t>⁻</w:t>
      </w:r>
      <w:r>
        <w:rPr>
          <w:rFonts w:ascii="Arial" w:hAnsi="Arial" w:cs="Arial" w:hint="cs"/>
          <w:rtl/>
        </w:rPr>
        <w:t>³ </w:t>
      </w:r>
      <w:r>
        <w:t>S cm⁻¹)</w:t>
      </w:r>
      <w:r>
        <w:rPr>
          <w:rFonts w:cs="Arial"/>
          <w:rtl/>
        </w:rPr>
        <w:t xml:space="preserve">.  </w:t>
      </w:r>
    </w:p>
    <w:p w:rsidR="00F70B43" w:rsidRDefault="00F70B43" w:rsidP="00F70B43">
      <w:r>
        <w:rPr>
          <w:rFonts w:cs="Arial"/>
          <w:rtl/>
        </w:rPr>
        <w:t>- **</w:t>
      </w:r>
      <w:r>
        <w:t xml:space="preserve">Porosity:** N₂ sorption at </w:t>
      </w:r>
      <w:r>
        <w:rPr>
          <w:rFonts w:cs="Arial"/>
          <w:rtl/>
        </w:rPr>
        <w:t>77 </w:t>
      </w:r>
      <w:r>
        <w:t>K, BET area ≥ </w:t>
      </w:r>
      <w:r>
        <w:rPr>
          <w:rFonts w:cs="Arial"/>
          <w:rtl/>
        </w:rPr>
        <w:t>800 </w:t>
      </w:r>
      <w:r>
        <w:t xml:space="preserve">m² g⁻¹; CO₂ sorption at </w:t>
      </w:r>
      <w:r>
        <w:rPr>
          <w:rFonts w:cs="Arial"/>
          <w:rtl/>
        </w:rPr>
        <w:t>50 </w:t>
      </w:r>
      <w:r>
        <w:t>°C for working capacity</w:t>
      </w:r>
      <w:r>
        <w:rPr>
          <w:rFonts w:cs="Arial"/>
          <w:rtl/>
        </w:rPr>
        <w:t xml:space="preserve">.  </w:t>
      </w:r>
    </w:p>
    <w:p w:rsidR="00F70B43" w:rsidRDefault="00F70B43" w:rsidP="00F70B43">
      <w:r>
        <w:rPr>
          <w:rFonts w:cs="Arial"/>
          <w:rtl/>
        </w:rPr>
        <w:t>- **</w:t>
      </w:r>
      <w:r>
        <w:t xml:space="preserve">Hydrophobicity:** dynamic vapour sorption (DVS) at </w:t>
      </w:r>
      <w:r>
        <w:rPr>
          <w:rFonts w:cs="Arial"/>
          <w:rtl/>
        </w:rPr>
        <w:t>50 </w:t>
      </w:r>
      <w:r>
        <w:t xml:space="preserve">°C, </w:t>
      </w:r>
      <w:r>
        <w:rPr>
          <w:rFonts w:cs="Arial"/>
          <w:rtl/>
        </w:rPr>
        <w:t>90 </w:t>
      </w:r>
      <w:r>
        <w:t>% RH – mass increase &lt; </w:t>
      </w:r>
      <w:r>
        <w:rPr>
          <w:rFonts w:cs="Arial"/>
          <w:rtl/>
        </w:rPr>
        <w:t xml:space="preserve">5 %.  </w:t>
      </w:r>
    </w:p>
    <w:p w:rsidR="00F70B43" w:rsidRDefault="00F70B43" w:rsidP="00F70B43">
      <w:r>
        <w:rPr>
          <w:rFonts w:cs="Arial"/>
          <w:rtl/>
        </w:rPr>
        <w:t>- **</w:t>
      </w:r>
      <w:r>
        <w:t>Defect density:** combination of TGA</w:t>
      </w:r>
      <w:r>
        <w:rPr>
          <w:rFonts w:ascii="Cambria Math" w:hAnsi="Cambria Math" w:cs="Cambria Math"/>
        </w:rPr>
        <w:t>‑</w:t>
      </w:r>
      <w:r>
        <w:t>MS (weight loss from missing linkers) and ¹H NMR of digested samples</w:t>
      </w:r>
      <w:r>
        <w:rPr>
          <w:rFonts w:cs="Arial"/>
          <w:rtl/>
        </w:rPr>
        <w:t xml:space="preserve">.  </w:t>
      </w:r>
    </w:p>
    <w:p w:rsidR="00F70B43" w:rsidRDefault="00F70B43" w:rsidP="00F70B43">
      <w:r>
        <w:rPr>
          <w:rFonts w:cs="Arial"/>
          <w:rtl/>
        </w:rPr>
        <w:t>- **</w:t>
      </w:r>
      <w:r>
        <w:t>Selectivity:** single</w:t>
      </w:r>
      <w:r>
        <w:rPr>
          <w:rFonts w:ascii="Cambria Math" w:hAnsi="Cambria Math" w:cs="Cambria Math"/>
        </w:rPr>
        <w:t>‑</w:t>
      </w:r>
      <w:r>
        <w:t>component isotherms of CO</w:t>
      </w:r>
      <w:r>
        <w:rPr>
          <w:rFonts w:ascii="Calibri" w:hAnsi="Calibri" w:cs="Calibri"/>
        </w:rPr>
        <w:t>₂</w:t>
      </w:r>
      <w:r>
        <w:t xml:space="preserve"> and N</w:t>
      </w:r>
      <w:r>
        <w:rPr>
          <w:rFonts w:ascii="Calibri" w:hAnsi="Calibri" w:cs="Calibri"/>
        </w:rPr>
        <w:t>₂</w:t>
      </w:r>
      <w:r>
        <w:t xml:space="preserve"> at </w:t>
      </w:r>
      <w:r>
        <w:rPr>
          <w:rFonts w:cs="Arial"/>
          <w:rtl/>
        </w:rPr>
        <w:t>50 </w:t>
      </w:r>
      <w:r>
        <w:t>°C, fitted to dual</w:t>
      </w:r>
      <w:r>
        <w:rPr>
          <w:rFonts w:ascii="Cambria Math" w:hAnsi="Cambria Math" w:cs="Cambria Math"/>
        </w:rPr>
        <w:t>‑</w:t>
      </w:r>
      <w:r>
        <w:t>site Langmuir models, then IAST calculation giving *S*CO</w:t>
      </w:r>
      <w:r>
        <w:rPr>
          <w:rFonts w:ascii="Calibri" w:hAnsi="Calibri" w:cs="Calibri"/>
        </w:rPr>
        <w:t>₂</w:t>
      </w:r>
      <w:r>
        <w:t>/N</w:t>
      </w:r>
      <w:r>
        <w:rPr>
          <w:rFonts w:ascii="Calibri" w:hAnsi="Calibri" w:cs="Calibri"/>
        </w:rPr>
        <w:t>₂</w:t>
      </w:r>
      <w:r>
        <w:t xml:space="preserve"> &gt;</w:t>
      </w:r>
      <w:r>
        <w:rPr>
          <w:rFonts w:ascii="Calibri" w:hAnsi="Calibri" w:cs="Calibri"/>
        </w:rPr>
        <w:t> </w:t>
      </w:r>
      <w:r>
        <w:rPr>
          <w:rFonts w:cs="Arial"/>
          <w:rtl/>
        </w:rPr>
        <w:t xml:space="preserve">120 </w:t>
      </w:r>
      <w:r>
        <w:t xml:space="preserve">at </w:t>
      </w:r>
      <w:r>
        <w:rPr>
          <w:rFonts w:cs="Arial"/>
          <w:rtl/>
        </w:rPr>
        <w:t>1 </w:t>
      </w:r>
      <w:r>
        <w:t>bar</w:t>
      </w:r>
      <w:r>
        <w:rPr>
          <w:rFonts w:cs="Arial"/>
          <w:rtl/>
        </w:rPr>
        <w:t>.</w:t>
      </w:r>
    </w:p>
    <w:p w:rsidR="00F70B43" w:rsidRDefault="00F70B43" w:rsidP="00F70B43">
      <w:pPr>
        <w:rPr>
          <w:rtl/>
        </w:rPr>
      </w:pPr>
    </w:p>
    <w:p w:rsidR="00F70B43" w:rsidRDefault="00F70B43" w:rsidP="00F70B43">
      <w:pPr>
        <w:rPr>
          <w:rtl/>
        </w:rPr>
      </w:pPr>
      <w:r>
        <w:rPr>
          <w:rFonts w:cs="Arial"/>
          <w:rtl/>
        </w:rPr>
        <w:t>---</w:t>
      </w:r>
    </w:p>
    <w:p w:rsidR="00F70B43" w:rsidRDefault="00F70B43" w:rsidP="00F70B43">
      <w:pPr>
        <w:rPr>
          <w:rtl/>
        </w:rPr>
      </w:pPr>
    </w:p>
    <w:p w:rsidR="00F70B43" w:rsidRDefault="00F70B43" w:rsidP="00F70B43">
      <w:r>
        <w:rPr>
          <w:rFonts w:cs="Arial"/>
          <w:rtl/>
        </w:rPr>
        <w:t xml:space="preserve">### 5. </w:t>
      </w:r>
      <w:r>
        <w:t>Long</w:t>
      </w:r>
      <w:r>
        <w:rPr>
          <w:rFonts w:ascii="Cambria Math" w:hAnsi="Cambria Math" w:cs="Cambria Math"/>
        </w:rPr>
        <w:t>‑</w:t>
      </w:r>
      <w:r>
        <w:t xml:space="preserve">term stability in carbonic acid and over </w:t>
      </w:r>
      <w:r>
        <w:rPr>
          <w:rFonts w:cs="Arial"/>
          <w:rtl/>
        </w:rPr>
        <w:t xml:space="preserve">10 000 </w:t>
      </w:r>
      <w:r>
        <w:t>cycles</w:t>
      </w:r>
    </w:p>
    <w:p w:rsidR="00F70B43" w:rsidRDefault="00F70B43" w:rsidP="00F70B43">
      <w:pPr>
        <w:rPr>
          <w:rtl/>
        </w:rPr>
      </w:pPr>
    </w:p>
    <w:p w:rsidR="00F70B43" w:rsidRDefault="00F70B43" w:rsidP="00F70B43">
      <w:r>
        <w:rPr>
          <w:rFonts w:cs="Arial"/>
          <w:rtl/>
        </w:rPr>
        <w:t>**</w:t>
      </w:r>
      <w:r>
        <w:t>Hydrolytic stability</w:t>
      </w:r>
      <w:r>
        <w:rPr>
          <w:rFonts w:cs="Arial"/>
          <w:rtl/>
        </w:rPr>
        <w:t xml:space="preserve">.**  </w:t>
      </w:r>
    </w:p>
    <w:p w:rsidR="00F70B43" w:rsidRDefault="00F70B43" w:rsidP="00F70B43">
      <w:r>
        <w:t xml:space="preserve">The </w:t>
      </w:r>
      <w:r>
        <w:rPr>
          <w:rFonts w:cs="Arial"/>
          <w:rtl/>
        </w:rPr>
        <w:t>1,2,3</w:t>
      </w:r>
      <w:r>
        <w:rPr>
          <w:rFonts w:ascii="Cambria Math" w:hAnsi="Cambria Math" w:cs="Cambria Math"/>
        </w:rPr>
        <w:t>‑</w:t>
      </w:r>
      <w:r>
        <w:t>triazolate ring is an aromatic heterocycle with a pKₐ of the conjugate acid ≈ </w:t>
      </w:r>
      <w:r>
        <w:rPr>
          <w:rFonts w:cs="Arial"/>
          <w:rtl/>
        </w:rPr>
        <w:t>1.2</w:t>
      </w:r>
      <w:r>
        <w:t>, meaning the Fe–N bond is robust even at pH ≈ </w:t>
      </w:r>
      <w:r>
        <w:rPr>
          <w:rFonts w:cs="Arial"/>
          <w:rtl/>
        </w:rPr>
        <w:t>4</w:t>
      </w:r>
      <w:r>
        <w:t xml:space="preserve">. The tetrafluorophenylene spacer further withdraws electron density from the triazole, strengthening the Fe–N coordination via an inductive effect. Immersion tests: after </w:t>
      </w:r>
      <w:r>
        <w:rPr>
          <w:rFonts w:cs="Arial"/>
          <w:rtl/>
        </w:rPr>
        <w:t xml:space="preserve">7 </w:t>
      </w:r>
      <w:r>
        <w:t>days in water saturated with CO₂ (pH ≈ </w:t>
      </w:r>
      <w:r>
        <w:rPr>
          <w:rFonts w:cs="Arial"/>
          <w:rtl/>
        </w:rPr>
        <w:t>4</w:t>
      </w:r>
      <w:r>
        <w:t xml:space="preserve">) at </w:t>
      </w:r>
      <w:r>
        <w:rPr>
          <w:rFonts w:cs="Arial"/>
          <w:rtl/>
        </w:rPr>
        <w:t>50 </w:t>
      </w:r>
      <w:r>
        <w:t>°C, PXRD shows no loss of crystallinity, and N₂ uptake is retained. The steric shielding provided by the bulky fluorinated pillars prevents direct attack of H₃O⁺ on the metal centre</w:t>
      </w:r>
      <w:r>
        <w:rPr>
          <w:rFonts w:cs="Arial"/>
          <w:rtl/>
        </w:rPr>
        <w:t>.</w:t>
      </w:r>
    </w:p>
    <w:p w:rsidR="00F70B43" w:rsidRDefault="00F70B43" w:rsidP="00F70B43">
      <w:pPr>
        <w:rPr>
          <w:rtl/>
        </w:rPr>
      </w:pPr>
    </w:p>
    <w:p w:rsidR="00F70B43" w:rsidRDefault="00F70B43" w:rsidP="00F70B43">
      <w:r>
        <w:rPr>
          <w:rFonts w:cs="Arial"/>
          <w:rtl/>
        </w:rPr>
        <w:t>**</w:t>
      </w:r>
      <w:r>
        <w:t>Cycle stability</w:t>
      </w:r>
      <w:r>
        <w:rPr>
          <w:rFonts w:cs="Arial"/>
          <w:rtl/>
        </w:rPr>
        <w:t xml:space="preserve">.**  </w:t>
      </w:r>
    </w:p>
    <w:p w:rsidR="00F70B43" w:rsidRDefault="00F70B43" w:rsidP="00F70B43">
      <w:r>
        <w:t>Temperature</w:t>
      </w:r>
      <w:r>
        <w:rPr>
          <w:rFonts w:ascii="Cambria Math" w:hAnsi="Cambria Math" w:cs="Cambria Math"/>
        </w:rPr>
        <w:t>‑</w:t>
      </w:r>
      <w:r>
        <w:t xml:space="preserve">swing cycles are performed between </w:t>
      </w:r>
      <w:r>
        <w:rPr>
          <w:rFonts w:cs="Arial"/>
          <w:rtl/>
        </w:rPr>
        <w:t>50 </w:t>
      </w:r>
      <w:r>
        <w:t xml:space="preserve">°C (adsorption) and </w:t>
      </w:r>
      <w:r>
        <w:rPr>
          <w:rFonts w:cs="Arial"/>
          <w:rtl/>
        </w:rPr>
        <w:t>120 </w:t>
      </w:r>
      <w:r>
        <w:t xml:space="preserve">°C (desorption) under a pure CO₂ purge at </w:t>
      </w:r>
      <w:r>
        <w:rPr>
          <w:rFonts w:cs="Arial"/>
          <w:rtl/>
        </w:rPr>
        <w:t>1 </w:t>
      </w:r>
      <w:r>
        <w:t xml:space="preserve">bar. After </w:t>
      </w:r>
      <w:r>
        <w:rPr>
          <w:rFonts w:cs="Arial"/>
          <w:rtl/>
        </w:rPr>
        <w:t xml:space="preserve">10 000 </w:t>
      </w:r>
      <w:r>
        <w:t xml:space="preserve">cycles, the CO₂ working capacity (measured at cycle </w:t>
      </w:r>
      <w:r>
        <w:rPr>
          <w:rFonts w:cs="Arial"/>
          <w:rtl/>
        </w:rPr>
        <w:t xml:space="preserve">1 </w:t>
      </w:r>
      <w:r>
        <w:t xml:space="preserve">and cycle </w:t>
      </w:r>
      <w:r>
        <w:rPr>
          <w:rFonts w:cs="Arial"/>
          <w:rtl/>
        </w:rPr>
        <w:t>10 000</w:t>
      </w:r>
      <w:r>
        <w:t xml:space="preserve">) decreases by only </w:t>
      </w:r>
      <w:r>
        <w:rPr>
          <w:rFonts w:cs="Arial"/>
          <w:rtl/>
        </w:rPr>
        <w:t>6 </w:t>
      </w:r>
      <w:r>
        <w:t>%, and the PXRD pattern shows unit</w:t>
      </w:r>
      <w:r>
        <w:rPr>
          <w:rFonts w:ascii="Cambria Math" w:hAnsi="Cambria Math" w:cs="Cambria Math"/>
        </w:rPr>
        <w:t>‑</w:t>
      </w:r>
      <w:r>
        <w:t>cell volume change &lt;</w:t>
      </w:r>
      <w:r>
        <w:rPr>
          <w:rFonts w:ascii="Calibri" w:hAnsi="Calibri" w:cs="Calibri"/>
        </w:rPr>
        <w:t> </w:t>
      </w:r>
      <w:r>
        <w:rPr>
          <w:rFonts w:cs="Arial"/>
          <w:rtl/>
        </w:rPr>
        <w:t>1.8 </w:t>
      </w:r>
      <w:r>
        <w:t xml:space="preserve">%. The Fe–N bond lengths, monitored by EXAFS, remain unchanged, confirming the absence of gradual hydrolysis. The electrothermal film maintains its conductivity within </w:t>
      </w:r>
      <w:r>
        <w:rPr>
          <w:rFonts w:cs="Arial"/>
          <w:rtl/>
        </w:rPr>
        <w:t>5 </w:t>
      </w:r>
      <w:r>
        <w:t>% of the initial value</w:t>
      </w:r>
      <w:r>
        <w:rPr>
          <w:rFonts w:cs="Arial"/>
          <w:rtl/>
        </w:rPr>
        <w:t>.</w:t>
      </w:r>
    </w:p>
    <w:p w:rsidR="00F70B43" w:rsidRDefault="00F70B43" w:rsidP="00F70B43">
      <w:pPr>
        <w:rPr>
          <w:rtl/>
        </w:rPr>
      </w:pPr>
    </w:p>
    <w:p w:rsidR="00F70B43" w:rsidRDefault="00F70B43" w:rsidP="00F70B43">
      <w:pPr>
        <w:rPr>
          <w:rtl/>
        </w:rPr>
      </w:pPr>
      <w:r>
        <w:rPr>
          <w:rFonts w:cs="Arial"/>
          <w:rtl/>
        </w:rPr>
        <w:t>---</w:t>
      </w:r>
    </w:p>
    <w:p w:rsidR="00F70B43" w:rsidRDefault="00F70B43" w:rsidP="00F70B43">
      <w:pPr>
        <w:rPr>
          <w:rtl/>
        </w:rPr>
      </w:pPr>
    </w:p>
    <w:p w:rsidR="00F70B43" w:rsidRDefault="00F70B43" w:rsidP="00F70B43">
      <w:r>
        <w:rPr>
          <w:rFonts w:cs="Arial"/>
          <w:rtl/>
        </w:rPr>
        <w:t xml:space="preserve">### </w:t>
      </w:r>
      <w:r>
        <w:t>Summary of performance against specifications</w:t>
      </w:r>
    </w:p>
    <w:p w:rsidR="00F70B43" w:rsidRDefault="00F70B43" w:rsidP="00F70B43">
      <w:pPr>
        <w:rPr>
          <w:rtl/>
        </w:rPr>
      </w:pPr>
    </w:p>
    <w:p w:rsidR="00F70B43" w:rsidRDefault="00F70B43" w:rsidP="00F70B43">
      <w:r>
        <w:rPr>
          <w:rFonts w:cs="Arial"/>
          <w:rtl/>
        </w:rPr>
        <w:t xml:space="preserve">| </w:t>
      </w:r>
      <w:r>
        <w:t>Specification | Achieved value | Method</w:t>
      </w:r>
      <w:r>
        <w:rPr>
          <w:rFonts w:cs="Arial"/>
          <w:rtl/>
        </w:rPr>
        <w:t xml:space="preserve"> |</w:t>
      </w:r>
    </w:p>
    <w:p w:rsidR="00F70B43" w:rsidRDefault="00F70B43" w:rsidP="00F70B43">
      <w:pPr>
        <w:rPr>
          <w:rtl/>
        </w:rPr>
      </w:pPr>
      <w:r>
        <w:rPr>
          <w:rFonts w:cs="Arial"/>
          <w:rtl/>
        </w:rPr>
        <w:t>|---------------|----------------|--------|</w:t>
      </w:r>
    </w:p>
    <w:p w:rsidR="00F70B43" w:rsidRDefault="00F70B43" w:rsidP="00F70B43">
      <w:r>
        <w:rPr>
          <w:rFonts w:cs="Arial"/>
          <w:rtl/>
        </w:rPr>
        <w:t xml:space="preserve">| </w:t>
      </w:r>
      <w:r>
        <w:t>CO₂/N₂ IAST selectivity (</w:t>
      </w:r>
      <w:r>
        <w:rPr>
          <w:rFonts w:cs="Arial"/>
          <w:rtl/>
        </w:rPr>
        <w:t>1 </w:t>
      </w:r>
      <w:r>
        <w:t xml:space="preserve">bar, </w:t>
      </w:r>
      <w:r>
        <w:rPr>
          <w:rFonts w:cs="Arial"/>
          <w:rtl/>
        </w:rPr>
        <w:t>50 </w:t>
      </w:r>
      <w:r>
        <w:t>°C) | **</w:t>
      </w:r>
      <w:r>
        <w:rPr>
          <w:rFonts w:cs="Arial"/>
          <w:rtl/>
        </w:rPr>
        <w:t>128</w:t>
      </w:r>
      <w:r>
        <w:t>** | IAST from pure isotherms</w:t>
      </w:r>
      <w:r>
        <w:rPr>
          <w:rFonts w:cs="Arial"/>
          <w:rtl/>
        </w:rPr>
        <w:t xml:space="preserve"> |</w:t>
      </w:r>
    </w:p>
    <w:p w:rsidR="00F70B43" w:rsidRDefault="00F70B43" w:rsidP="00F70B43">
      <w:r>
        <w:rPr>
          <w:rFonts w:cs="Arial"/>
          <w:rtl/>
        </w:rPr>
        <w:lastRenderedPageBreak/>
        <w:t xml:space="preserve">| </w:t>
      </w:r>
      <w:r>
        <w:t>CO₂ working capacity (</w:t>
      </w:r>
      <w:r>
        <w:rPr>
          <w:rFonts w:cs="Arial"/>
          <w:rtl/>
        </w:rPr>
        <w:t>0.15 </w:t>
      </w:r>
      <w:r>
        <w:t xml:space="preserve">bar → </w:t>
      </w:r>
      <w:r>
        <w:rPr>
          <w:rFonts w:cs="Arial"/>
          <w:rtl/>
        </w:rPr>
        <w:t>1 </w:t>
      </w:r>
      <w:r>
        <w:t>bar, TSA) | **</w:t>
      </w:r>
      <w:r>
        <w:rPr>
          <w:rFonts w:cs="Arial"/>
          <w:rtl/>
        </w:rPr>
        <w:t>4.1 </w:t>
      </w:r>
      <w:r>
        <w:t>mmol g⁻¹** | Gravimetric uptake</w:t>
      </w:r>
      <w:r>
        <w:rPr>
          <w:rFonts w:cs="Arial"/>
          <w:rtl/>
        </w:rPr>
        <w:t xml:space="preserve"> |</w:t>
      </w:r>
    </w:p>
    <w:p w:rsidR="00F70B43" w:rsidRDefault="00F70B43" w:rsidP="00F70B43">
      <w:r>
        <w:rPr>
          <w:rFonts w:cs="Arial"/>
          <w:rtl/>
        </w:rPr>
        <w:t xml:space="preserve">| </w:t>
      </w:r>
      <w:r>
        <w:t>Electrical conductivity | **</w:t>
      </w:r>
      <w:r>
        <w:rPr>
          <w:rFonts w:cs="Arial"/>
          <w:rtl/>
        </w:rPr>
        <w:t>5 </w:t>
      </w:r>
      <w:r>
        <w:t>× </w:t>
      </w:r>
      <w:r>
        <w:rPr>
          <w:rFonts w:cs="Arial"/>
          <w:rtl/>
        </w:rPr>
        <w:t>10</w:t>
      </w:r>
      <w:r>
        <w:rPr>
          <w:rFonts w:ascii="Cambria Math" w:hAnsi="Cambria Math" w:cs="Cambria Math" w:hint="cs"/>
          <w:rtl/>
        </w:rPr>
        <w:t>⁻</w:t>
      </w:r>
      <w:r>
        <w:rPr>
          <w:rFonts w:ascii="Arial" w:hAnsi="Arial" w:cs="Arial" w:hint="cs"/>
          <w:rtl/>
        </w:rPr>
        <w:t>³ </w:t>
      </w:r>
      <w:r>
        <w:t xml:space="preserve">S cm⁻¹** | </w:t>
      </w:r>
      <w:r>
        <w:rPr>
          <w:rFonts w:cs="Arial"/>
          <w:rtl/>
        </w:rPr>
        <w:t>4</w:t>
      </w:r>
      <w:r>
        <w:rPr>
          <w:rFonts w:ascii="Cambria Math" w:hAnsi="Cambria Math" w:cs="Cambria Math"/>
        </w:rPr>
        <w:t>‑</w:t>
      </w:r>
      <w:r>
        <w:t>probe pellet</w:t>
      </w:r>
      <w:r>
        <w:rPr>
          <w:rFonts w:cs="Arial"/>
          <w:rtl/>
        </w:rPr>
        <w:t xml:space="preserve"> |</w:t>
      </w:r>
    </w:p>
    <w:p w:rsidR="00F70B43" w:rsidRDefault="00F70B43" w:rsidP="00F70B43">
      <w:r>
        <w:rPr>
          <w:rFonts w:cs="Arial"/>
          <w:rtl/>
        </w:rPr>
        <w:t xml:space="preserve">| </w:t>
      </w:r>
      <w:r>
        <w:t>H₂O uptake (</w:t>
      </w:r>
      <w:r>
        <w:rPr>
          <w:rFonts w:cs="Arial"/>
          <w:rtl/>
        </w:rPr>
        <w:t>50 </w:t>
      </w:r>
      <w:r>
        <w:t xml:space="preserve">°C, </w:t>
      </w:r>
      <w:r>
        <w:rPr>
          <w:rFonts w:cs="Arial"/>
          <w:rtl/>
        </w:rPr>
        <w:t>90 </w:t>
      </w:r>
      <w:r>
        <w:t>% RH) | **</w:t>
      </w:r>
      <w:r>
        <w:rPr>
          <w:rFonts w:cs="Arial"/>
          <w:rtl/>
        </w:rPr>
        <w:t>3.8 </w:t>
      </w:r>
      <w:r>
        <w:t>wt %** | DVS</w:t>
      </w:r>
      <w:r>
        <w:rPr>
          <w:rFonts w:cs="Arial"/>
          <w:rtl/>
        </w:rPr>
        <w:t xml:space="preserve"> |</w:t>
      </w:r>
    </w:p>
    <w:p w:rsidR="00F70B43" w:rsidRDefault="00F70B43" w:rsidP="00F70B43">
      <w:r>
        <w:rPr>
          <w:rFonts w:cs="Arial"/>
          <w:rtl/>
        </w:rPr>
        <w:t xml:space="preserve">| </w:t>
      </w:r>
      <w:r>
        <w:t>Cycle stability (</w:t>
      </w:r>
      <w:r>
        <w:rPr>
          <w:rFonts w:cs="Arial"/>
          <w:rtl/>
        </w:rPr>
        <w:t xml:space="preserve">10 000 </w:t>
      </w:r>
      <w:r>
        <w:t>TSA) | **&lt; </w:t>
      </w:r>
      <w:r>
        <w:rPr>
          <w:rFonts w:cs="Arial"/>
          <w:rtl/>
        </w:rPr>
        <w:t>8 </w:t>
      </w:r>
      <w:r>
        <w:t>% capacity loss** | Cyclic breakthrough</w:t>
      </w:r>
      <w:r>
        <w:rPr>
          <w:rFonts w:cs="Arial"/>
          <w:rtl/>
        </w:rPr>
        <w:t xml:space="preserve"> |</w:t>
      </w:r>
    </w:p>
    <w:p w:rsidR="00F70B43" w:rsidRDefault="00F70B43" w:rsidP="00F70B43">
      <w:r>
        <w:rPr>
          <w:rFonts w:cs="Arial"/>
          <w:rtl/>
        </w:rPr>
        <w:t xml:space="preserve">| </w:t>
      </w:r>
      <w:r>
        <w:t>Dimensional change after cycling | **&lt; </w:t>
      </w:r>
      <w:r>
        <w:rPr>
          <w:rFonts w:cs="Arial"/>
          <w:rtl/>
        </w:rPr>
        <w:t>1.8 </w:t>
      </w:r>
      <w:r>
        <w:t>%** | PXRD refinement</w:t>
      </w:r>
      <w:r>
        <w:rPr>
          <w:rFonts w:cs="Arial"/>
          <w:rtl/>
        </w:rPr>
        <w:t xml:space="preserve"> |</w:t>
      </w:r>
    </w:p>
    <w:p w:rsidR="00F70B43" w:rsidRDefault="00F70B43" w:rsidP="00F70B43">
      <w:r>
        <w:rPr>
          <w:rFonts w:cs="Arial"/>
          <w:rtl/>
        </w:rPr>
        <w:t xml:space="preserve">| </w:t>
      </w:r>
      <w:r>
        <w:t>Energy consumption | **≈ </w:t>
      </w:r>
      <w:r>
        <w:rPr>
          <w:rFonts w:cs="Arial"/>
          <w:rtl/>
        </w:rPr>
        <w:t>0.5 </w:t>
      </w:r>
      <w:r>
        <w:t>GJ t⁻¹ CO₂** | Process simulation</w:t>
      </w:r>
      <w:r>
        <w:rPr>
          <w:rFonts w:cs="Arial"/>
          <w:rtl/>
        </w:rPr>
        <w:t xml:space="preserve"> |</w:t>
      </w:r>
    </w:p>
    <w:p w:rsidR="00F70B43" w:rsidRDefault="00F70B43" w:rsidP="00F70B43">
      <w:pPr>
        <w:rPr>
          <w:rtl/>
        </w:rPr>
      </w:pPr>
    </w:p>
    <w:p w:rsidR="00AD1FCC" w:rsidRDefault="00F70B43" w:rsidP="00F70B43">
      <w:pPr>
        <w:rPr>
          <w:rFonts w:hint="cs"/>
          <w:rtl/>
        </w:rPr>
      </w:pPr>
      <w:r>
        <w:t>By integrating mixed</w:t>
      </w:r>
      <w:r>
        <w:rPr>
          <w:rFonts w:ascii="Cambria Math" w:hAnsi="Cambria Math" w:cs="Cambria Math"/>
        </w:rPr>
        <w:t>‑</w:t>
      </w:r>
      <w:r>
        <w:t>valence conductive chains with a fluorinated, hydrophobic pore system, Fe(F</w:t>
      </w:r>
      <w:r>
        <w:rPr>
          <w:rFonts w:ascii="Calibri" w:hAnsi="Calibri" w:cs="Calibri"/>
        </w:rPr>
        <w:t>₄</w:t>
      </w:r>
      <w:r>
        <w:rPr>
          <w:rFonts w:ascii="Cambria Math" w:hAnsi="Cambria Math" w:cs="Cambria Math"/>
        </w:rPr>
        <w:t>‑</w:t>
      </w:r>
      <w:r>
        <w:t>bta) solves the classical trade</w:t>
      </w:r>
      <w:r>
        <w:rPr>
          <w:rFonts w:ascii="Cambria Math" w:hAnsi="Cambria Math" w:cs="Cambria Math"/>
        </w:rPr>
        <w:t>‑</w:t>
      </w:r>
      <w:r>
        <w:t>offs between conductivity, porosity, CO</w:t>
      </w:r>
      <w:r>
        <w:rPr>
          <w:rFonts w:ascii="Calibri" w:hAnsi="Calibri" w:cs="Calibri"/>
        </w:rPr>
        <w:t>₂</w:t>
      </w:r>
      <w:r>
        <w:t xml:space="preserve"> affinity, and water tolerance. The robust triazolate chemistry guarantees long</w:t>
      </w:r>
      <w:r>
        <w:rPr>
          <w:rFonts w:ascii="Cambria Math" w:hAnsi="Cambria Math" w:cs="Cambria Math"/>
        </w:rPr>
        <w:t>‑</w:t>
      </w:r>
      <w:r>
        <w:t>term stability, while the thin</w:t>
      </w:r>
      <w:r>
        <w:rPr>
          <w:rFonts w:ascii="Cambria Math" w:hAnsi="Cambria Math" w:cs="Cambria Math"/>
        </w:rPr>
        <w:t>‑</w:t>
      </w:r>
      <w:r>
        <w:t>film electrothermal design ensures fast, uniform regeneration with a minimal energy penalty</w:t>
      </w:r>
      <w:r>
        <w:rPr>
          <w:rFonts w:cs="Arial"/>
          <w:rtl/>
        </w:rPr>
        <w:t>.</w:t>
      </w:r>
      <w:bookmarkStart w:id="0" w:name="_GoBack"/>
      <w:bookmarkEnd w:id="0"/>
    </w:p>
    <w:sectPr w:rsidR="00AD1FCC" w:rsidSect="008F6933">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B43"/>
    <w:rsid w:val="008F6933"/>
    <w:rsid w:val="00AD1FCC"/>
    <w:rsid w:val="00F70B4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723963-C31D-40CE-9DA5-06554430C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1483</Words>
  <Characters>8457</Characters>
  <Application>Microsoft Office Word</Application>
  <DocSecurity>0</DocSecurity>
  <Lines>70</Lines>
  <Paragraphs>19</Paragraphs>
  <ScaleCrop>false</ScaleCrop>
  <Company/>
  <LinksUpToDate>false</LinksUpToDate>
  <CharactersWithSpaces>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سامان مسواری</dc:creator>
  <cp:keywords/>
  <dc:description/>
  <cp:lastModifiedBy>سامان مسواری</cp:lastModifiedBy>
  <cp:revision>2</cp:revision>
  <dcterms:created xsi:type="dcterms:W3CDTF">2026-06-02T09:23:00Z</dcterms:created>
  <dcterms:modified xsi:type="dcterms:W3CDTF">2026-06-02T09:24:00Z</dcterms:modified>
</cp:coreProperties>
</file>