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AFD" w:rsidRDefault="00244AFD" w:rsidP="00244AFD">
      <w:r>
        <w:rPr>
          <w:rFonts w:cs="Arial"/>
          <w:rtl/>
        </w:rPr>
        <w:t>**</w:t>
      </w:r>
      <w:r>
        <w:t>Engineering Proposal: Design of a Conductive and Hydrophobic Metal–Organic Framework for Selective CO₂ Capture from Wet Flue Gas with Direct Electrothermal Regeneration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 **1. </w:t>
      </w:r>
      <w:r>
        <w:t>Material Selection and Core Design Strategy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t>We propose the synthesis and deployment of a **nickel-based redox-active MOF** adopting the **htp (hexagonal tungsten bronze-type) topology**, constructed from **</w:t>
      </w:r>
      <w:r>
        <w:rPr>
          <w:rFonts w:cs="Arial"/>
          <w:rtl/>
        </w:rPr>
        <w:t>2,3,6,7,10,11</w:t>
      </w:r>
      <w:r>
        <w:t>-hexahydroxytriphenylene (HHTP)** ligands and **low-spin Ni²⁺/Ni³⁺ mixed-valence nodes**. This framework—denoted **Ni₃(HHTP)₂**, also known as **Ni₃(HITP)₂** in literature (where HITP = hexaiminotriphenylene)—is modified via **post-synthetic perfluoroalkylation** to impart hydrophobicity while preserving conductivity and CO₂ affinity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>This design simultaneously addresses</w:t>
      </w:r>
      <w:r>
        <w:rPr>
          <w:rFonts w:cs="Arial"/>
          <w:rtl/>
        </w:rPr>
        <w:t>: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High CO₂/N₂ selectivity via tailored electrostatic potential in sub-nanometer pores</w:t>
      </w:r>
      <w:r>
        <w:rPr>
          <w:rFonts w:cs="Arial"/>
          <w:rtl/>
        </w:rPr>
        <w:t>,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Intrinsic electrical conductivity through extended π-d conjugation</w:t>
      </w:r>
      <w:r>
        <w:rPr>
          <w:rFonts w:cs="Arial"/>
          <w:rtl/>
        </w:rPr>
        <w:t>,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Hydrophobicity via fluorinated pore walls</w:t>
      </w:r>
      <w:r>
        <w:rPr>
          <w:rFonts w:cs="Arial"/>
          <w:rtl/>
        </w:rPr>
        <w:t>,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Thermal and chemical robustness via kinetically inert Ni–N bonds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 **2. </w:t>
      </w:r>
      <w:r>
        <w:t>Addressing Contradictory Requirements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#### **2.1 </w:t>
      </w:r>
      <w:r>
        <w:t>Hydrophobicity vs. High CO₂ Affinity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Challenge**: Water and CO₂ have comparable quadrupole moments ($\mu_{\text{quad, CO}_</w:t>
      </w:r>
      <w:r>
        <w:rPr>
          <w:rFonts w:cs="Arial"/>
          <w:rtl/>
        </w:rPr>
        <w:t>2</w:t>
      </w:r>
      <w:r>
        <w:t>} \approx -</w:t>
      </w:r>
      <w:r>
        <w:rPr>
          <w:rFonts w:cs="Arial"/>
          <w:rtl/>
        </w:rPr>
        <w:t xml:space="preserve">1.4 </w:t>
      </w:r>
      <w:r>
        <w:t xml:space="preserve">\times 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39</w:t>
      </w:r>
      <w:r>
        <w:t>}$ C·m²; $\mu_{\text{quad, H}_</w:t>
      </w:r>
      <w:r>
        <w:rPr>
          <w:rFonts w:cs="Arial"/>
          <w:rtl/>
        </w:rPr>
        <w:t>2</w:t>
      </w:r>
      <w:r>
        <w:t>\text{O}} \approx -</w:t>
      </w:r>
      <w:r>
        <w:rPr>
          <w:rFonts w:cs="Arial"/>
          <w:rtl/>
        </w:rPr>
        <w:t xml:space="preserve">0.7 </w:t>
      </w:r>
      <w:r>
        <w:t xml:space="preserve">\times 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39</w:t>
      </w:r>
      <w:r>
        <w:t>}$ C·m²), leading to competitive adsorption in polar frameworks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Solution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>- **</w:t>
      </w:r>
      <w:r>
        <w:t>Pore size confinement**: Ni₃(HHTP)₂ features **</w:t>
      </w:r>
      <w:r>
        <w:rPr>
          <w:rFonts w:cs="Arial"/>
          <w:rtl/>
        </w:rPr>
        <w:t>1</w:t>
      </w:r>
      <w:r>
        <w:t>D hexagonal channels (~</w:t>
      </w:r>
      <w:r>
        <w:rPr>
          <w:rFonts w:cs="Arial"/>
          <w:rtl/>
        </w:rPr>
        <w:t xml:space="preserve">1.5 </w:t>
      </w:r>
      <w:r>
        <w:t>nm diameter)** that can be tuned via ligand functionalization to ~</w:t>
      </w:r>
      <w:r>
        <w:rPr>
          <w:rFonts w:cs="Arial"/>
          <w:rtl/>
        </w:rPr>
        <w:t>0.4</w:t>
      </w:r>
      <w:r>
        <w:t>–</w:t>
      </w:r>
      <w:r>
        <w:rPr>
          <w:rFonts w:cs="Arial"/>
          <w:rtl/>
        </w:rPr>
        <w:t xml:space="preserve">0.5 </w:t>
      </w:r>
      <w:r>
        <w:t>nm effective aperture—just above the kinetic diameter of CO₂ (</w:t>
      </w:r>
      <w:r>
        <w:rPr>
          <w:rFonts w:cs="Arial"/>
          <w:rtl/>
        </w:rPr>
        <w:t xml:space="preserve">0.33 </w:t>
      </w:r>
      <w:r>
        <w:t>nm) but below that of hydrated water clusters (&gt;</w:t>
      </w:r>
      <w:r>
        <w:rPr>
          <w:rFonts w:cs="Arial"/>
          <w:rtl/>
        </w:rPr>
        <w:t xml:space="preserve">0.45 </w:t>
      </w:r>
      <w:r>
        <w:t>nm under humid conditions). This enables **molecular sieving** against water aggregates while admitting CO₂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lastRenderedPageBreak/>
        <w:t>- **</w:t>
      </w:r>
      <w:r>
        <w:t>Electrostatic potential engineering**: The **electron-deficient Ni³⁺ sites** act as **soft Lewis acids** (per HSAB theory), favoring interaction with the **soft Lewis base CO₂** (via π-back-donation into CO₂’s LUMO) over **hard Lewis base H₂O** (which prefers σ-donation to hard acids like Al³⁺ or Mg²⁺)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Fluorination**: Post-synthetic grafting of **–CF₃ groups** onto phenolic –OH sites reduces surface energy and creates a **hydrophobic pore environment** (contact angle &gt;</w:t>
      </w:r>
      <w:r>
        <w:rPr>
          <w:rFonts w:cs="Arial"/>
          <w:rtl/>
        </w:rPr>
        <w:t>120°</w:t>
      </w:r>
      <w:r>
        <w:t xml:space="preserve">), suppressing water condensation even at </w:t>
      </w:r>
      <w:r>
        <w:rPr>
          <w:rFonts w:cs="Arial"/>
          <w:rtl/>
        </w:rPr>
        <w:t xml:space="preserve">90% </w:t>
      </w:r>
      <w:r>
        <w:t>RH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Justification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t>HSAB principle predicts preferential binding of soft acid (Ni³⁺) to soft base (CO₂) over hard base (H₂O). Fluorination lowers isosteric heat of water adsorption ($q_{\text{st,H}_</w:t>
      </w:r>
      <w:r>
        <w:rPr>
          <w:rFonts w:cs="Arial"/>
          <w:rtl/>
        </w:rPr>
        <w:t>2</w:t>
      </w:r>
      <w:r>
        <w:t xml:space="preserve">\text{O}} &lt; </w:t>
      </w:r>
      <w:r>
        <w:rPr>
          <w:rFonts w:cs="Arial"/>
          <w:rtl/>
        </w:rPr>
        <w:t xml:space="preserve">30$ </w:t>
      </w:r>
      <w:r>
        <w:t>kJ/mol) while maintaining $q_{\text{st,CO}_</w:t>
      </w:r>
      <w:r>
        <w:rPr>
          <w:rFonts w:cs="Arial"/>
          <w:rtl/>
        </w:rPr>
        <w:t>2</w:t>
      </w:r>
      <w:r>
        <w:t xml:space="preserve">} \approx </w:t>
      </w:r>
      <w:r>
        <w:rPr>
          <w:rFonts w:cs="Arial"/>
          <w:rtl/>
        </w:rPr>
        <w:t xml:space="preserve">40$ </w:t>
      </w:r>
      <w:r>
        <w:t>kJ/mol—ideal for temperature-swing regeneration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&gt; **</w:t>
      </w:r>
      <w:r>
        <w:t xml:space="preserve">Expected performance**: IAST-predicted CO₂/N₂ selectivity ≥ </w:t>
      </w:r>
      <w:r>
        <w:rPr>
          <w:rFonts w:cs="Arial"/>
          <w:rtl/>
        </w:rPr>
        <w:t xml:space="preserve">120 </w:t>
      </w:r>
      <w:r>
        <w:t xml:space="preserve">at </w:t>
      </w:r>
      <w:r>
        <w:rPr>
          <w:rFonts w:cs="Arial"/>
          <w:rtl/>
        </w:rPr>
        <w:t>50°</w:t>
      </w:r>
      <w:r>
        <w:t xml:space="preserve">C, </w:t>
      </w:r>
      <w:r>
        <w:rPr>
          <w:rFonts w:cs="Arial"/>
          <w:rtl/>
        </w:rPr>
        <w:t xml:space="preserve">1 </w:t>
      </w:r>
      <w:r>
        <w:t xml:space="preserve">bar; water uptake &lt; </w:t>
      </w:r>
      <w:r>
        <w:rPr>
          <w:rFonts w:cs="Arial"/>
          <w:rtl/>
        </w:rPr>
        <w:t xml:space="preserve">3 </w:t>
      </w:r>
      <w:r>
        <w:t xml:space="preserve">wt% at </w:t>
      </w:r>
      <w:r>
        <w:rPr>
          <w:rFonts w:cs="Arial"/>
          <w:rtl/>
        </w:rPr>
        <w:t>50°</w:t>
      </w:r>
      <w:r>
        <w:t xml:space="preserve">C, </w:t>
      </w:r>
      <w:r>
        <w:rPr>
          <w:rFonts w:cs="Arial"/>
          <w:rtl/>
        </w:rPr>
        <w:t xml:space="preserve">90% </w:t>
      </w:r>
      <w:r>
        <w:t>RH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#### **2.2 </w:t>
      </w:r>
      <w:r>
        <w:t>Electrical Conductivity vs. High Porosity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Challenge**: Conductive MOFs often sacrifice porosity due to dense stacking or redox-inactive linkers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Solution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>- **</w:t>
      </w:r>
      <w:r>
        <w:t xml:space="preserve">Topology**: **htp net** provides **interpenetration-free**, **highly ordered </w:t>
      </w:r>
      <w:r>
        <w:rPr>
          <w:rFonts w:cs="Arial"/>
          <w:rtl/>
        </w:rPr>
        <w:t>1</w:t>
      </w:r>
      <w:r>
        <w:t xml:space="preserve">D channels** with theoretical BET &gt; </w:t>
      </w:r>
      <w:r>
        <w:rPr>
          <w:rFonts w:cs="Arial"/>
          <w:rtl/>
        </w:rPr>
        <w:t xml:space="preserve">1000 </w:t>
      </w:r>
      <w:r>
        <w:t>m²/g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Conductive pathway**: Ni²⁺/Ni³⁺ mixed valence enables **hole hopping** along metal chains, while **π-stacked HHTP ligands** support **through-plane delocalization**. The resulting **</w:t>
      </w:r>
      <w:r>
        <w:rPr>
          <w:rFonts w:cs="Arial"/>
          <w:rtl/>
        </w:rPr>
        <w:t>2</w:t>
      </w:r>
      <w:r>
        <w:t>D conductive sheets** stack co-facially, yielding bulk conductivity up to **</w:t>
      </w:r>
      <w:r>
        <w:rPr>
          <w:rFonts w:cs="Arial"/>
          <w:rtl/>
        </w:rPr>
        <w:t>10</w:t>
      </w:r>
      <w:r>
        <w:rPr>
          <w:rFonts w:ascii="Cambria Math" w:hAnsi="Cambria Math" w:cs="Cambria Math" w:hint="cs"/>
          <w:rtl/>
        </w:rPr>
        <w:t>⁻</w:t>
      </w:r>
      <w:r>
        <w:rPr>
          <w:rFonts w:ascii="Arial" w:hAnsi="Arial" w:cs="Arial" w:hint="cs"/>
          <w:rtl/>
        </w:rPr>
        <w:t>²</w:t>
      </w:r>
      <w:r>
        <w:rPr>
          <w:rFonts w:cs="Arial"/>
          <w:rtl/>
        </w:rPr>
        <w:t xml:space="preserve"> </w:t>
      </w:r>
      <w:r>
        <w:t>S/cm** (experimentally reported for Ni₃(HITP)₂)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Porosity retention**: Despite conductivity, the framework maintains **micropore volume ~</w:t>
      </w:r>
      <w:r>
        <w:rPr>
          <w:rFonts w:cs="Arial"/>
          <w:rtl/>
        </w:rPr>
        <w:t xml:space="preserve">0.5 </w:t>
      </w:r>
      <w:r>
        <w:t>cm³/g**, sufficient for high CO₂ uptake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Robustness under operation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CO₂ physisorption does not disrupt π-stacking or metal oxidation states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lastRenderedPageBreak/>
        <w:t xml:space="preserve">- </w:t>
      </w:r>
      <w:r>
        <w:t>Steam exposure is mitigated by hydrophobic fluorination, preventing pore flooding and maintaining charge transport pathways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&gt; **</w:t>
      </w:r>
      <w:r>
        <w:t xml:space="preserve">Target metrics**: Conductivity ≥ </w:t>
      </w:r>
      <w:r>
        <w:rPr>
          <w:rFonts w:cs="Arial"/>
          <w:rtl/>
        </w:rPr>
        <w:t xml:space="preserve">1 </w:t>
      </w:r>
      <w:r>
        <w:t xml:space="preserve">× </w:t>
      </w:r>
      <w:r>
        <w:rPr>
          <w:rFonts w:cs="Arial"/>
          <w:rtl/>
        </w:rPr>
        <w:t>10</w:t>
      </w:r>
      <w:r>
        <w:rPr>
          <w:rFonts w:ascii="Cambria Math" w:hAnsi="Cambria Math" w:cs="Cambria Math" w:hint="cs"/>
          <w:rtl/>
        </w:rPr>
        <w:t>⁻</w:t>
      </w:r>
      <w:r>
        <w:rPr>
          <w:rFonts w:ascii="Arial" w:hAnsi="Arial" w:cs="Arial" w:hint="cs"/>
          <w:rtl/>
        </w:rPr>
        <w:t>³</w:t>
      </w:r>
      <w:r>
        <w:rPr>
          <w:rFonts w:cs="Arial"/>
          <w:rtl/>
        </w:rPr>
        <w:t xml:space="preserve"> </w:t>
      </w:r>
      <w:r>
        <w:t xml:space="preserve">S/cm; BET &gt; </w:t>
      </w:r>
      <w:r>
        <w:rPr>
          <w:rFonts w:cs="Arial"/>
          <w:rtl/>
        </w:rPr>
        <w:t xml:space="preserve">850 </w:t>
      </w:r>
      <w:r>
        <w:t>m²/g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#### **2.3 </w:t>
      </w:r>
      <w:r>
        <w:t>Electrothermal Regeneration: Energy and Thermal Management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Energy requirement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t xml:space="preserve">Desorbing </w:t>
      </w:r>
      <w:r>
        <w:rPr>
          <w:rFonts w:cs="Arial"/>
          <w:rtl/>
        </w:rPr>
        <w:t xml:space="preserve">4 </w:t>
      </w:r>
      <w:r>
        <w:t xml:space="preserve">mmol/g CO₂ with $q_{\text{st}} = </w:t>
      </w:r>
      <w:r>
        <w:rPr>
          <w:rFonts w:cs="Arial"/>
          <w:rtl/>
        </w:rPr>
        <w:t xml:space="preserve">40$ </w:t>
      </w:r>
      <w:r>
        <w:t>kJ/mol requires</w:t>
      </w:r>
      <w:r>
        <w:rPr>
          <w:rFonts w:cs="Arial"/>
          <w:rtl/>
        </w:rPr>
        <w:t>: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r>
        <w:t xml:space="preserve">E_{\text{des}} = </w:t>
      </w:r>
      <w:r>
        <w:rPr>
          <w:rFonts w:cs="Arial"/>
          <w:rtl/>
        </w:rPr>
        <w:t xml:space="preserve">4 </w:t>
      </w:r>
      <w:r>
        <w:t xml:space="preserve">\times 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 xml:space="preserve">} \, \text{mol/g} \times </w:t>
      </w:r>
      <w:r>
        <w:rPr>
          <w:rFonts w:cs="Arial"/>
          <w:rtl/>
        </w:rPr>
        <w:t xml:space="preserve">40 </w:t>
      </w:r>
      <w:r>
        <w:t xml:space="preserve">\, \text{kJ/mol} = </w:t>
      </w:r>
      <w:r>
        <w:rPr>
          <w:rFonts w:cs="Arial"/>
          <w:rtl/>
        </w:rPr>
        <w:t xml:space="preserve">0.16 </w:t>
      </w:r>
      <w:r>
        <w:t xml:space="preserve">\, \text{kJ/g} = </w:t>
      </w:r>
      <w:r>
        <w:rPr>
          <w:rFonts w:cs="Arial"/>
          <w:rtl/>
        </w:rPr>
        <w:t xml:space="preserve">160 </w:t>
      </w:r>
      <w:r>
        <w:t>\, \text{kJ/kg}</w:t>
      </w: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 xml:space="preserve">Assuming </w:t>
      </w:r>
      <w:r>
        <w:rPr>
          <w:rFonts w:cs="Arial"/>
          <w:rtl/>
        </w:rPr>
        <w:t xml:space="preserve">70% </w:t>
      </w:r>
      <w:r>
        <w:t>thermal efficiency (heat losses, bed inertia), total energy ≈ **</w:t>
      </w:r>
      <w:r>
        <w:rPr>
          <w:rFonts w:cs="Arial"/>
          <w:rtl/>
        </w:rPr>
        <w:t xml:space="preserve">230 </w:t>
      </w:r>
      <w:r>
        <w:t xml:space="preserve">kJ/kg = </w:t>
      </w:r>
      <w:r>
        <w:rPr>
          <w:rFonts w:cs="Arial"/>
          <w:rtl/>
        </w:rPr>
        <w:t xml:space="preserve">0.23 </w:t>
      </w:r>
      <w:r>
        <w:t xml:space="preserve">GJ/tonne**—well below the </w:t>
      </w:r>
      <w:r>
        <w:rPr>
          <w:rFonts w:cs="Arial"/>
          <w:rtl/>
        </w:rPr>
        <w:t xml:space="preserve">3 </w:t>
      </w:r>
      <w:r>
        <w:t>GJ/tonne limit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Joule heating analysis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t xml:space="preserve">For a pellet with conductivity $\sigma = </w:t>
      </w:r>
      <w:r>
        <w:rPr>
          <w:rFonts w:cs="Arial"/>
          <w:rtl/>
        </w:rPr>
        <w:t xml:space="preserve">1 </w:t>
      </w:r>
      <w:r>
        <w:t xml:space="preserve">\times 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 xml:space="preserve">}$ S/cm = </w:t>
      </w:r>
      <w:r>
        <w:rPr>
          <w:rFonts w:cs="Arial"/>
          <w:rtl/>
        </w:rPr>
        <w:t xml:space="preserve">0.1 </w:t>
      </w:r>
      <w:r>
        <w:t xml:space="preserve">S/m, applying voltage $V$ across length $L = </w:t>
      </w:r>
      <w:r>
        <w:rPr>
          <w:rFonts w:cs="Arial"/>
          <w:rtl/>
        </w:rPr>
        <w:t xml:space="preserve">1$ </w:t>
      </w:r>
      <w:r>
        <w:t>cm</w:t>
      </w:r>
      <w:r>
        <w:rPr>
          <w:rFonts w:cs="Arial"/>
          <w:rtl/>
        </w:rPr>
        <w:t>: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>Power density</w:t>
      </w:r>
      <w:r>
        <w:rPr>
          <w:rFonts w:cs="Arial"/>
          <w:rtl/>
        </w:rPr>
        <w:t xml:space="preserve">:  </w:t>
      </w: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r>
        <w:t>P = \frac{V^</w:t>
      </w:r>
      <w:r>
        <w:rPr>
          <w:rFonts w:cs="Arial"/>
          <w:rtl/>
        </w:rPr>
        <w:t xml:space="preserve">2 </w:t>
      </w:r>
      <w:r>
        <w:t>\sigma}{L^</w:t>
      </w:r>
      <w:r>
        <w:rPr>
          <w:rFonts w:cs="Arial"/>
          <w:rtl/>
        </w:rPr>
        <w:t>2</w:t>
      </w:r>
      <w:r>
        <w:t>}</w:t>
      </w: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 xml:space="preserve">To achieve </w:t>
      </w:r>
      <w:r>
        <w:rPr>
          <w:rFonts w:cs="Arial"/>
          <w:rtl/>
        </w:rPr>
        <w:t>100°</w:t>
      </w:r>
      <w:r>
        <w:t xml:space="preserve">C rise in </w:t>
      </w:r>
      <w:r>
        <w:rPr>
          <w:rFonts w:cs="Arial"/>
          <w:rtl/>
        </w:rPr>
        <w:t xml:space="preserve">60 </w:t>
      </w:r>
      <w:r>
        <w:t xml:space="preserve">s (typical TSA cycle), assuming heat capacity $C_p \approx </w:t>
      </w:r>
      <w:r>
        <w:rPr>
          <w:rFonts w:cs="Arial"/>
          <w:rtl/>
        </w:rPr>
        <w:t xml:space="preserve">1$ </w:t>
      </w:r>
      <w:r>
        <w:t>J/g·K</w:t>
      </w:r>
      <w:r>
        <w:rPr>
          <w:rFonts w:cs="Arial"/>
          <w:rtl/>
        </w:rPr>
        <w:t>: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r>
        <w:lastRenderedPageBreak/>
        <w:t xml:space="preserve">Q = m C_p \Delta T = </w:t>
      </w:r>
      <w:r>
        <w:rPr>
          <w:rFonts w:cs="Arial"/>
          <w:rtl/>
        </w:rPr>
        <w:t xml:space="preserve">1 </w:t>
      </w:r>
      <w:r>
        <w:t xml:space="preserve">\, \text{g} \times </w:t>
      </w:r>
      <w:r>
        <w:rPr>
          <w:rFonts w:cs="Arial"/>
          <w:rtl/>
        </w:rPr>
        <w:t xml:space="preserve">1 </w:t>
      </w:r>
      <w:r>
        <w:t xml:space="preserve">\times </w:t>
      </w:r>
      <w:r>
        <w:rPr>
          <w:rFonts w:cs="Arial"/>
          <w:rtl/>
        </w:rPr>
        <w:t xml:space="preserve">50 </w:t>
      </w:r>
      <w:r>
        <w:t xml:space="preserve">= </w:t>
      </w:r>
      <w:r>
        <w:rPr>
          <w:rFonts w:cs="Arial"/>
          <w:rtl/>
        </w:rPr>
        <w:t xml:space="preserve">50 </w:t>
      </w:r>
      <w:r>
        <w:t xml:space="preserve">\, \text{J} \quad (\text{from </w:t>
      </w:r>
      <w:r>
        <w:rPr>
          <w:rFonts w:cs="Arial"/>
          <w:rtl/>
        </w:rPr>
        <w:t>50°</w:t>
      </w:r>
      <w:r>
        <w:t xml:space="preserve">C to </w:t>
      </w:r>
      <w:r>
        <w:rPr>
          <w:rFonts w:cs="Arial"/>
          <w:rtl/>
        </w:rPr>
        <w:t>100°</w:t>
      </w:r>
      <w:r>
        <w:t>C})</w:t>
      </w: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 xml:space="preserve">Required power ≈ </w:t>
      </w:r>
      <w:r>
        <w:rPr>
          <w:rFonts w:cs="Arial"/>
          <w:rtl/>
        </w:rPr>
        <w:t xml:space="preserve">1 </w:t>
      </w:r>
      <w:r>
        <w:t xml:space="preserve">W/g → $P = </w:t>
      </w:r>
      <w:r>
        <w:rPr>
          <w:rFonts w:cs="Arial"/>
          <w:rtl/>
        </w:rPr>
        <w:t>10</w:t>
      </w:r>
      <w:r>
        <w:t>^</w:t>
      </w:r>
      <w:r>
        <w:rPr>
          <w:rFonts w:cs="Arial"/>
          <w:rtl/>
        </w:rPr>
        <w:t xml:space="preserve">6$ </w:t>
      </w:r>
      <w:r>
        <w:t>W/m³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>Solving for $V</w:t>
      </w:r>
      <w:r>
        <w:rPr>
          <w:rFonts w:cs="Arial"/>
          <w:rtl/>
        </w:rPr>
        <w:t>$: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r>
        <w:rPr>
          <w:rFonts w:cs="Arial"/>
          <w:rtl/>
        </w:rPr>
        <w:t>10^6 = \</w:t>
      </w:r>
      <w:r>
        <w:t>frac{V^</w:t>
      </w:r>
      <w:r>
        <w:rPr>
          <w:rFonts w:cs="Arial"/>
          <w:rtl/>
        </w:rPr>
        <w:t xml:space="preserve">2 </w:t>
      </w:r>
      <w:r>
        <w:t xml:space="preserve">\cdot </w:t>
      </w:r>
      <w:r>
        <w:rPr>
          <w:rFonts w:cs="Arial"/>
          <w:rtl/>
        </w:rPr>
        <w:t>0.1</w:t>
      </w:r>
      <w:r>
        <w:t>}{(</w:t>
      </w:r>
      <w:r>
        <w:rPr>
          <w:rFonts w:cs="Arial"/>
          <w:rtl/>
        </w:rPr>
        <w:t>0.01</w:t>
      </w:r>
      <w:r>
        <w:t>)^</w:t>
      </w:r>
      <w:r>
        <w:rPr>
          <w:rFonts w:cs="Arial"/>
          <w:rtl/>
        </w:rPr>
        <w:t>2</w:t>
      </w:r>
      <w:r>
        <w:t>} \Rightarrow V^</w:t>
      </w:r>
      <w:r>
        <w:rPr>
          <w:rFonts w:cs="Arial"/>
          <w:rtl/>
        </w:rPr>
        <w:t xml:space="preserve">2 </w:t>
      </w:r>
      <w:r>
        <w:t xml:space="preserve">= </w:t>
      </w:r>
      <w:r>
        <w:rPr>
          <w:rFonts w:cs="Arial"/>
          <w:rtl/>
        </w:rPr>
        <w:t xml:space="preserve">1 </w:t>
      </w:r>
      <w:r>
        <w:t xml:space="preserve">\Rightarrow V \approx </w:t>
      </w:r>
      <w:r>
        <w:rPr>
          <w:rFonts w:cs="Arial"/>
          <w:rtl/>
        </w:rPr>
        <w:t xml:space="preserve">1 </w:t>
      </w:r>
      <w:r>
        <w:t>\, \text{V}</w:t>
      </w: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$$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>Thus, **low-voltage (&lt;</w:t>
      </w:r>
      <w:r>
        <w:rPr>
          <w:rFonts w:cs="Arial"/>
          <w:rtl/>
        </w:rPr>
        <w:t xml:space="preserve">2 </w:t>
      </w:r>
      <w:r>
        <w:t>V), high-current operation** suffices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Thermal uniformity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Use **interdigitated planar electrodes** on thin-film MOF coatings (≤</w:t>
      </w:r>
      <w:r>
        <w:rPr>
          <w:rFonts w:cs="Arial"/>
          <w:rtl/>
        </w:rPr>
        <w:t xml:space="preserve">200 </w:t>
      </w:r>
      <w:r>
        <w:t>µm thick) to minimize radial gradients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Alternatively, embed MOF in a **conductive carbon fiber monolith** with axial current flow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Maximum allowable temperature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t>Ni–N bonds in aromatic imine frameworks are stable to **≥</w:t>
      </w:r>
      <w:r>
        <w:rPr>
          <w:rFonts w:cs="Arial"/>
          <w:rtl/>
        </w:rPr>
        <w:t>250°</w:t>
      </w:r>
      <w:r>
        <w:t>C** in inert atmosphere. However, in wet oxidative flue gas, limit regeneration to **≤</w:t>
      </w:r>
      <w:r>
        <w:rPr>
          <w:rFonts w:cs="Arial"/>
          <w:rtl/>
        </w:rPr>
        <w:t>120°</w:t>
      </w:r>
      <w:r>
        <w:t>C** to avoid oxidative degradation and hydrolysis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&gt; **</w:t>
      </w:r>
      <w:r>
        <w:t xml:space="preserve">Cycle design**: Adsorb at </w:t>
      </w:r>
      <w:r>
        <w:rPr>
          <w:rFonts w:cs="Arial"/>
          <w:rtl/>
        </w:rPr>
        <w:t>50°</w:t>
      </w:r>
      <w:r>
        <w:t xml:space="preserve">C, desorb at </w:t>
      </w:r>
      <w:r>
        <w:rPr>
          <w:rFonts w:cs="Arial"/>
          <w:rtl/>
        </w:rPr>
        <w:t>100</w:t>
      </w:r>
      <w:r>
        <w:t>–</w:t>
      </w:r>
      <w:r>
        <w:rPr>
          <w:rFonts w:cs="Arial"/>
          <w:rtl/>
        </w:rPr>
        <w:t>110°</w:t>
      </w:r>
      <w:r>
        <w:t xml:space="preserve">C for </w:t>
      </w:r>
      <w:r>
        <w:rPr>
          <w:rFonts w:cs="Arial"/>
          <w:rtl/>
        </w:rPr>
        <w:t>5</w:t>
      </w:r>
      <w:r>
        <w:t>–</w:t>
      </w:r>
      <w:r>
        <w:rPr>
          <w:rFonts w:cs="Arial"/>
          <w:rtl/>
        </w:rPr>
        <w:t xml:space="preserve">10 </w:t>
      </w:r>
      <w:r>
        <w:t>min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#### **2.4 </w:t>
      </w:r>
      <w:r>
        <w:t>Synthesis Feasibility and Defect Control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Synthetic route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>- **</w:t>
      </w:r>
      <w:r>
        <w:t xml:space="preserve">Solvothermal synthesis** in anhydrous DMF/mesitylene at </w:t>
      </w:r>
      <w:r>
        <w:rPr>
          <w:rFonts w:cs="Arial"/>
          <w:rtl/>
        </w:rPr>
        <w:t>120°</w:t>
      </w:r>
      <w:r>
        <w:t>C under N₂, using Ni(NO₃)₂ and HHTP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lastRenderedPageBreak/>
        <w:t>- **</w:t>
      </w:r>
      <w:r>
        <w:t>In situ oxidation**: Add trace I₂ or air to generate Ni³⁺ for mixed valence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Post-synthetic modification (PSM)**: React free –OH groups with (tridecafluoro-</w:t>
      </w:r>
      <w:r>
        <w:rPr>
          <w:rFonts w:cs="Arial"/>
          <w:rtl/>
        </w:rPr>
        <w:t>1,1,2,2</w:t>
      </w:r>
      <w:r>
        <w:t>-tetrahydrooctyl)triethoxysilane to graft –CF₃ moieties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Defect risks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>- **</w:t>
      </w:r>
      <w:r>
        <w:t>Missing linker defects**: Reduce conductivity and create hydrophilic voids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 xml:space="preserve">Metal hydrolysis**: Ni²⁺ susceptible to hydrolysis if pH &lt; </w:t>
      </w:r>
      <w:r>
        <w:rPr>
          <w:rFonts w:cs="Arial"/>
          <w:rtl/>
        </w:rPr>
        <w:t>4</w:t>
      </w:r>
      <w:r>
        <w:t>, but fluorination shields pores from acidic water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Mitigation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Use **modulators** (e.g., benzoic acid) to control crystallization kinetics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Perform PSM under mild conditions (</w:t>
      </w:r>
      <w:r>
        <w:rPr>
          <w:rFonts w:cs="Arial"/>
          <w:rtl/>
        </w:rPr>
        <w:t>60°</w:t>
      </w:r>
      <w:r>
        <w:t>C, inert) to preserve crystallinity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Characterization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>- **</w:t>
      </w:r>
      <w:r>
        <w:t>PXRD**: Confirm phase purity and htp topology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XPS**: Quantify Ni²⁺/Ni³⁺ ratio and F/C content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Gas sorption (Ar, CO₂, H₂O)**: Measure BET, pore size distribution, water uptake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Four-probe DC conductivity**: On pressed pellets (</w:t>
      </w:r>
      <w:r>
        <w:rPr>
          <w:rFonts w:cs="Arial"/>
          <w:rtl/>
        </w:rPr>
        <w:t xml:space="preserve">10 </w:t>
      </w:r>
      <w:r>
        <w:t>MPa, no binder)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- **</w:t>
      </w:r>
      <w:r>
        <w:t>Positron annihilation lifetime spectroscopy (PALS)**: Detect sub-nm defects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#### **2.5 </w:t>
      </w:r>
      <w:r>
        <w:t xml:space="preserve">Stability Against Carbonic Acid (pH ≈ </w:t>
      </w:r>
      <w:r>
        <w:rPr>
          <w:rFonts w:cs="Arial"/>
          <w:rtl/>
        </w:rPr>
        <w:t>4</w:t>
      </w:r>
      <w:r>
        <w:t>)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Vulnerable bonds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>- **</w:t>
      </w:r>
      <w:r>
        <w:t>Ni–O/N bonds** in aqueous acid can undergo hydrolysis</w:t>
      </w:r>
      <w:r>
        <w:rPr>
          <w:rFonts w:cs="Arial"/>
          <w:rtl/>
        </w:rPr>
        <w:t xml:space="preserve">:  </w:t>
      </w:r>
    </w:p>
    <w:p w:rsidR="00244AFD" w:rsidRDefault="00244AFD" w:rsidP="00244AFD">
      <w:r>
        <w:rPr>
          <w:rFonts w:cs="Arial"/>
          <w:rtl/>
        </w:rPr>
        <w:t xml:space="preserve">  $$\</w:t>
      </w:r>
      <w:r>
        <w:t>text{Ni–L} + \text{H}^+ \rightarrow \text{Ni}^{</w:t>
      </w:r>
      <w:r>
        <w:rPr>
          <w:rFonts w:cs="Arial"/>
          <w:rtl/>
        </w:rPr>
        <w:t>2</w:t>
      </w:r>
      <w:r>
        <w:t>+}_{(aq)} + \text{HL}</w:t>
      </w:r>
      <w:r>
        <w:rPr>
          <w:rFonts w:cs="Arial"/>
          <w:rtl/>
        </w:rPr>
        <w:t>^+$$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Protection strategies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>1. **</w:t>
      </w:r>
      <w:r>
        <w:t>Hydrophobic shielding**: Fluorinated pore walls reduce water penetration, limiting [H⁺] at metal nodes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>2. **</w:t>
      </w:r>
      <w:r>
        <w:t xml:space="preserve">Kinetically inert metal center**: Low-spin d⁸ Ni²⁺ with strong-field **imine (C=N) ligands** forms **inert complexes** (ligand field stabilization energy &gt; </w:t>
      </w:r>
      <w:r>
        <w:rPr>
          <w:rFonts w:cs="Arial"/>
          <w:rtl/>
        </w:rPr>
        <w:t xml:space="preserve">200 </w:t>
      </w:r>
      <w:r>
        <w:t>kJ/mol), slowing hydrolysis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lastRenderedPageBreak/>
        <w:t>3. **</w:t>
      </w:r>
      <w:r>
        <w:t>Steric blocking**: Bulky –CF₃ groups near metal nodes hinder nucleophilic attack by H₂O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Validation</w:t>
      </w:r>
      <w:r>
        <w:rPr>
          <w:rFonts w:cs="Arial"/>
          <w:rtl/>
        </w:rPr>
        <w:t xml:space="preserve">**:  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 xml:space="preserve">Accelerated aging test: </w:t>
      </w:r>
      <w:r>
        <w:rPr>
          <w:rFonts w:cs="Arial"/>
          <w:rtl/>
        </w:rPr>
        <w:t xml:space="preserve">1000 </w:t>
      </w:r>
      <w:r>
        <w:t xml:space="preserve">cycles in </w:t>
      </w:r>
      <w:r>
        <w:rPr>
          <w:rFonts w:cs="Arial"/>
          <w:rtl/>
        </w:rPr>
        <w:t xml:space="preserve">5% </w:t>
      </w:r>
      <w:r>
        <w:t xml:space="preserve">CO₂ + saturated steam at </w:t>
      </w:r>
      <w:r>
        <w:rPr>
          <w:rFonts w:cs="Arial"/>
          <w:rtl/>
        </w:rPr>
        <w:t>50°</w:t>
      </w:r>
      <w:r>
        <w:t xml:space="preserve">C, pH </w:t>
      </w:r>
      <w:r>
        <w:rPr>
          <w:rFonts w:cs="Arial"/>
          <w:rtl/>
        </w:rPr>
        <w:t xml:space="preserve">4 </w:t>
      </w:r>
      <w:r>
        <w:t>buffer vapor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Monitor CO₂ capacity decay (&lt;</w:t>
      </w:r>
      <w:r>
        <w:rPr>
          <w:rFonts w:cs="Arial"/>
          <w:rtl/>
        </w:rPr>
        <w:t xml:space="preserve">5% </w:t>
      </w:r>
      <w:r>
        <w:t xml:space="preserve">after </w:t>
      </w:r>
      <w:r>
        <w:rPr>
          <w:rFonts w:cs="Arial"/>
          <w:rtl/>
        </w:rPr>
        <w:t xml:space="preserve">1000 </w:t>
      </w:r>
      <w:r>
        <w:t>cycles → extrapolate &lt;</w:t>
      </w:r>
      <w:r>
        <w:rPr>
          <w:rFonts w:cs="Arial"/>
          <w:rtl/>
        </w:rPr>
        <w:t xml:space="preserve">10% </w:t>
      </w:r>
      <w:r>
        <w:t xml:space="preserve">after </w:t>
      </w:r>
      <w:r>
        <w:rPr>
          <w:rFonts w:cs="Arial"/>
          <w:rtl/>
        </w:rPr>
        <w:t>10,000</w:t>
      </w:r>
      <w:r>
        <w:t>)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 **3. </w:t>
      </w:r>
      <w:r>
        <w:t>Integrated Performance Summary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| </w:t>
      </w:r>
      <w:r>
        <w:t>Parameter | Target | Achieved (Projected)</w:t>
      </w:r>
      <w:r>
        <w:rPr>
          <w:rFonts w:cs="Arial"/>
          <w:rtl/>
        </w:rPr>
        <w:t xml:space="preserve"> |</w:t>
      </w: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|--------|--------|----------------------|</w:t>
      </w:r>
    </w:p>
    <w:p w:rsidR="00244AFD" w:rsidRDefault="00244AFD" w:rsidP="00244AFD">
      <w:r>
        <w:rPr>
          <w:rFonts w:cs="Arial"/>
          <w:rtl/>
        </w:rPr>
        <w:t xml:space="preserve">| </w:t>
      </w:r>
      <w:r>
        <w:t>CO₂/N₂ IAST selectivity (</w:t>
      </w:r>
      <w:r>
        <w:rPr>
          <w:rFonts w:cs="Arial"/>
          <w:rtl/>
        </w:rPr>
        <w:t>50°</w:t>
      </w:r>
      <w:r>
        <w:t xml:space="preserve">C, </w:t>
      </w:r>
      <w:r>
        <w:rPr>
          <w:rFonts w:cs="Arial"/>
          <w:rtl/>
        </w:rPr>
        <w:t xml:space="preserve">1 </w:t>
      </w:r>
      <w:r>
        <w:t>bar) | ≥</w:t>
      </w:r>
      <w:r>
        <w:rPr>
          <w:rFonts w:cs="Arial"/>
          <w:rtl/>
        </w:rPr>
        <w:t xml:space="preserve">100 </w:t>
      </w:r>
      <w:r>
        <w:t>| ~</w:t>
      </w:r>
      <w:r>
        <w:rPr>
          <w:rFonts w:cs="Arial"/>
          <w:rtl/>
        </w:rPr>
        <w:t>120 |</w:t>
      </w:r>
    </w:p>
    <w:p w:rsidR="00244AFD" w:rsidRDefault="00244AFD" w:rsidP="00244AFD">
      <w:r>
        <w:rPr>
          <w:rFonts w:cs="Arial"/>
          <w:rtl/>
        </w:rPr>
        <w:t xml:space="preserve">| </w:t>
      </w:r>
      <w:r>
        <w:t>CO₂ working capacity (</w:t>
      </w:r>
      <w:r>
        <w:rPr>
          <w:rFonts w:cs="Arial"/>
          <w:rtl/>
        </w:rPr>
        <w:t xml:space="preserve">0.15 </w:t>
      </w:r>
      <w:r>
        <w:t xml:space="preserve">→ </w:t>
      </w:r>
      <w:r>
        <w:rPr>
          <w:rFonts w:cs="Arial"/>
          <w:rtl/>
        </w:rPr>
        <w:t xml:space="preserve">1 </w:t>
      </w:r>
      <w:r>
        <w:t>bar) | ≥</w:t>
      </w:r>
      <w:r>
        <w:rPr>
          <w:rFonts w:cs="Arial"/>
          <w:rtl/>
        </w:rPr>
        <w:t xml:space="preserve">4 </w:t>
      </w:r>
      <w:r>
        <w:t xml:space="preserve">mmol/g | </w:t>
      </w:r>
      <w:r>
        <w:rPr>
          <w:rFonts w:cs="Arial"/>
          <w:rtl/>
        </w:rPr>
        <w:t xml:space="preserve">4.2 </w:t>
      </w:r>
      <w:r>
        <w:t>mmol/g</w:t>
      </w:r>
      <w:r>
        <w:rPr>
          <w:rFonts w:cs="Arial"/>
          <w:rtl/>
        </w:rPr>
        <w:t xml:space="preserve"> |</w:t>
      </w:r>
    </w:p>
    <w:p w:rsidR="00244AFD" w:rsidRDefault="00244AFD" w:rsidP="00244AFD">
      <w:r>
        <w:rPr>
          <w:rFonts w:cs="Arial"/>
          <w:rtl/>
        </w:rPr>
        <w:t xml:space="preserve">| </w:t>
      </w:r>
      <w:r>
        <w:t>Electronic conductivity | ≥</w:t>
      </w:r>
      <w:r>
        <w:rPr>
          <w:rFonts w:cs="Arial"/>
          <w:rtl/>
        </w:rPr>
        <w:t>1</w:t>
      </w:r>
      <w:r>
        <w:t>×</w:t>
      </w:r>
      <w:r>
        <w:rPr>
          <w:rFonts w:cs="Arial"/>
          <w:rtl/>
        </w:rPr>
        <w:t>10</w:t>
      </w:r>
      <w:r>
        <w:rPr>
          <w:rFonts w:ascii="Cambria Math" w:hAnsi="Cambria Math" w:cs="Cambria Math" w:hint="cs"/>
          <w:rtl/>
        </w:rPr>
        <w:t>⁻</w:t>
      </w:r>
      <w:r>
        <w:rPr>
          <w:rFonts w:ascii="Arial" w:hAnsi="Arial" w:cs="Arial" w:hint="cs"/>
          <w:rtl/>
        </w:rPr>
        <w:t>³</w:t>
      </w:r>
      <w:r>
        <w:rPr>
          <w:rFonts w:cs="Arial"/>
          <w:rtl/>
        </w:rPr>
        <w:t xml:space="preserve"> </w:t>
      </w:r>
      <w:r>
        <w:t xml:space="preserve">S/cm | </w:t>
      </w:r>
      <w:r>
        <w:rPr>
          <w:rFonts w:cs="Arial"/>
          <w:rtl/>
        </w:rPr>
        <w:t>2</w:t>
      </w:r>
      <w:r>
        <w:t>×</w:t>
      </w:r>
      <w:r>
        <w:rPr>
          <w:rFonts w:cs="Arial"/>
          <w:rtl/>
        </w:rPr>
        <w:t>10</w:t>
      </w:r>
      <w:r>
        <w:rPr>
          <w:rFonts w:ascii="Cambria Math" w:hAnsi="Cambria Math" w:cs="Cambria Math" w:hint="cs"/>
          <w:rtl/>
        </w:rPr>
        <w:t>⁻</w:t>
      </w:r>
      <w:r>
        <w:rPr>
          <w:rFonts w:ascii="Arial" w:hAnsi="Arial" w:cs="Arial" w:hint="cs"/>
          <w:rtl/>
        </w:rPr>
        <w:t>³</w:t>
      </w:r>
      <w:r>
        <w:rPr>
          <w:rFonts w:cs="Arial"/>
          <w:rtl/>
        </w:rPr>
        <w:t xml:space="preserve"> </w:t>
      </w:r>
      <w:r>
        <w:t>S/cm</w:t>
      </w:r>
      <w:r>
        <w:rPr>
          <w:rFonts w:cs="Arial"/>
          <w:rtl/>
        </w:rPr>
        <w:t xml:space="preserve"> |</w:t>
      </w:r>
    </w:p>
    <w:p w:rsidR="00244AFD" w:rsidRDefault="00244AFD" w:rsidP="00244AFD">
      <w:r>
        <w:rPr>
          <w:rFonts w:cs="Arial"/>
          <w:rtl/>
        </w:rPr>
        <w:t xml:space="preserve">| </w:t>
      </w:r>
      <w:r>
        <w:t>Water uptake (</w:t>
      </w:r>
      <w:r>
        <w:rPr>
          <w:rFonts w:cs="Arial"/>
          <w:rtl/>
        </w:rPr>
        <w:t>50°</w:t>
      </w:r>
      <w:r>
        <w:t xml:space="preserve">C, </w:t>
      </w:r>
      <w:r>
        <w:rPr>
          <w:rFonts w:cs="Arial"/>
          <w:rtl/>
        </w:rPr>
        <w:t xml:space="preserve">90% </w:t>
      </w:r>
      <w:r>
        <w:t>RH) | &lt;</w:t>
      </w:r>
      <w:r>
        <w:rPr>
          <w:rFonts w:cs="Arial"/>
          <w:rtl/>
        </w:rPr>
        <w:t xml:space="preserve">5 </w:t>
      </w:r>
      <w:r>
        <w:t>wt% | ~</w:t>
      </w:r>
      <w:r>
        <w:rPr>
          <w:rFonts w:cs="Arial"/>
          <w:rtl/>
        </w:rPr>
        <w:t xml:space="preserve">2.5 </w:t>
      </w:r>
      <w:r>
        <w:t>wt</w:t>
      </w:r>
      <w:r>
        <w:rPr>
          <w:rFonts w:cs="Arial"/>
          <w:rtl/>
        </w:rPr>
        <w:t>% |</w:t>
      </w:r>
    </w:p>
    <w:p w:rsidR="00244AFD" w:rsidRDefault="00244AFD" w:rsidP="00244AFD">
      <w:r>
        <w:rPr>
          <w:rFonts w:cs="Arial"/>
          <w:rtl/>
        </w:rPr>
        <w:t xml:space="preserve">| </w:t>
      </w:r>
      <w:r>
        <w:t>Cyclic stability (</w:t>
      </w:r>
      <w:r>
        <w:rPr>
          <w:rFonts w:cs="Arial"/>
          <w:rtl/>
        </w:rPr>
        <w:t xml:space="preserve">10,000 </w:t>
      </w:r>
      <w:r>
        <w:t>cycles) | &lt;</w:t>
      </w:r>
      <w:r>
        <w:rPr>
          <w:rFonts w:cs="Arial"/>
          <w:rtl/>
        </w:rPr>
        <w:t xml:space="preserve">10% </w:t>
      </w:r>
      <w:r>
        <w:t>capacity loss | &lt;</w:t>
      </w:r>
      <w:r>
        <w:rPr>
          <w:rFonts w:cs="Arial"/>
          <w:rtl/>
        </w:rPr>
        <w:t xml:space="preserve">8% </w:t>
      </w:r>
      <w:r>
        <w:t>(projected)</w:t>
      </w:r>
      <w:r>
        <w:rPr>
          <w:rFonts w:cs="Arial"/>
          <w:rtl/>
        </w:rPr>
        <w:t xml:space="preserve"> |</w:t>
      </w:r>
    </w:p>
    <w:p w:rsidR="00244AFD" w:rsidRDefault="00244AFD" w:rsidP="00244AFD">
      <w:r>
        <w:rPr>
          <w:rFonts w:cs="Arial"/>
          <w:rtl/>
        </w:rPr>
        <w:t xml:space="preserve">| </w:t>
      </w:r>
      <w:r>
        <w:t>Energy consumption | &lt;</w:t>
      </w:r>
      <w:r>
        <w:rPr>
          <w:rFonts w:cs="Arial"/>
          <w:rtl/>
        </w:rPr>
        <w:t xml:space="preserve">3 </w:t>
      </w:r>
      <w:r>
        <w:t>GJ/tonne | ~</w:t>
      </w:r>
      <w:r>
        <w:rPr>
          <w:rFonts w:cs="Arial"/>
          <w:rtl/>
        </w:rPr>
        <w:t xml:space="preserve">0.8 </w:t>
      </w:r>
      <w:r>
        <w:t>GJ/tonne (including compression, auxiliaries)</w:t>
      </w:r>
      <w:r>
        <w:rPr>
          <w:rFonts w:cs="Arial"/>
          <w:rtl/>
        </w:rPr>
        <w:t xml:space="preserve"> |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&gt; **</w:t>
      </w:r>
      <w:r>
        <w:t>Note**: Total system energy includes vacuum swing or mild pressure increase for product CO₂ compression, but remains within target due to low regeneration energy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>---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 xml:space="preserve">### **4. </w:t>
      </w:r>
      <w:r>
        <w:t>Conclusion</w:t>
      </w:r>
      <w:r>
        <w:rPr>
          <w:rFonts w:cs="Arial"/>
          <w:rtl/>
        </w:rPr>
        <w:t>**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>The proposed **fluorinated Ni₃(HHTP)₂ MOF** reconciles the seemingly contradictory demands of **hydrophobicity, high CO₂ affinity, electrical conductivity, and hydrothermal stability** through</w:t>
      </w:r>
      <w:r>
        <w:rPr>
          <w:rFonts w:cs="Arial"/>
          <w:rtl/>
        </w:rPr>
        <w:t>:</w:t>
      </w:r>
    </w:p>
    <w:p w:rsidR="00244AFD" w:rsidRDefault="00244AFD" w:rsidP="00244AFD">
      <w:r>
        <w:rPr>
          <w:rFonts w:cs="Arial"/>
          <w:rtl/>
        </w:rPr>
        <w:t>- **</w:t>
      </w:r>
      <w:r>
        <w:t>HSAB-guided metal selection** (soft Ni³⁺ for CO₂)</w:t>
      </w:r>
      <w:r>
        <w:rPr>
          <w:rFonts w:cs="Arial"/>
          <w:rtl/>
        </w:rPr>
        <w:t>,</w:t>
      </w:r>
    </w:p>
    <w:p w:rsidR="00244AFD" w:rsidRDefault="00244AFD" w:rsidP="00244AFD">
      <w:r>
        <w:rPr>
          <w:rFonts w:cs="Arial"/>
          <w:rtl/>
        </w:rPr>
        <w:t>- **</w:t>
      </w:r>
      <w:r>
        <w:t>Pore-size and surface-energy engineering** (fluorination + molecular sieving)</w:t>
      </w:r>
      <w:r>
        <w:rPr>
          <w:rFonts w:cs="Arial"/>
          <w:rtl/>
        </w:rPr>
        <w:t>,</w:t>
      </w:r>
    </w:p>
    <w:p w:rsidR="00244AFD" w:rsidRDefault="00244AFD" w:rsidP="00244AFD">
      <w:r>
        <w:rPr>
          <w:rFonts w:cs="Arial"/>
          <w:rtl/>
        </w:rPr>
        <w:t>- **</w:t>
      </w:r>
      <w:r>
        <w:t>Robust conductive architecture** (htp net with π-d conjugation)</w:t>
      </w:r>
      <w:r>
        <w:rPr>
          <w:rFonts w:cs="Arial"/>
          <w:rtl/>
        </w:rPr>
        <w:t>,</w:t>
      </w:r>
    </w:p>
    <w:p w:rsidR="00244AFD" w:rsidRDefault="00244AFD" w:rsidP="00244AFD">
      <w:r>
        <w:rPr>
          <w:rFonts w:cs="Arial"/>
          <w:rtl/>
        </w:rPr>
        <w:t>- **</w:t>
      </w:r>
      <w:r>
        <w:t>Electrothermal compatibility** (low-voltage, rapid, uniform heating)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t>This material represents a viable candidate for **direct electrified carbon capture** from wet flue gas, enabling **modular, low-energy, and durable CO₂ separation** aligned with industrial decarbonization goals</w:t>
      </w:r>
      <w:r>
        <w:rPr>
          <w:rFonts w:cs="Arial"/>
          <w:rtl/>
        </w:rPr>
        <w:t>.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pPr>
        <w:rPr>
          <w:rtl/>
        </w:rPr>
      </w:pPr>
      <w:r>
        <w:rPr>
          <w:rFonts w:cs="Arial"/>
          <w:rtl/>
        </w:rPr>
        <w:t xml:space="preserve">--- </w:t>
      </w:r>
    </w:p>
    <w:p w:rsidR="00244AFD" w:rsidRDefault="00244AFD" w:rsidP="00244AFD">
      <w:pPr>
        <w:rPr>
          <w:rtl/>
        </w:rPr>
      </w:pPr>
    </w:p>
    <w:p w:rsidR="00244AFD" w:rsidRDefault="00244AFD" w:rsidP="00244AFD">
      <w:r>
        <w:rPr>
          <w:rFonts w:cs="Arial"/>
          <w:rtl/>
        </w:rPr>
        <w:t>**</w:t>
      </w:r>
      <w:r>
        <w:t>References (Representative)</w:t>
      </w:r>
      <w:r>
        <w:rPr>
          <w:rFonts w:cs="Arial"/>
          <w:rtl/>
        </w:rPr>
        <w:t>**: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Sheberla et al., *J. Am. Chem. Soc.* **</w:t>
      </w:r>
      <w:r>
        <w:rPr>
          <w:rFonts w:cs="Arial"/>
          <w:rtl/>
        </w:rPr>
        <w:t>2014</w:t>
      </w:r>
      <w:r>
        <w:t>**, *</w:t>
      </w:r>
      <w:r>
        <w:rPr>
          <w:rFonts w:cs="Arial"/>
          <w:rtl/>
        </w:rPr>
        <w:t>136</w:t>
      </w:r>
      <w:r>
        <w:t xml:space="preserve">*, </w:t>
      </w:r>
      <w:r>
        <w:rPr>
          <w:rFonts w:cs="Arial"/>
          <w:rtl/>
        </w:rPr>
        <w:t>8159</w:t>
      </w:r>
      <w:r>
        <w:t>–</w:t>
      </w:r>
      <w:r>
        <w:rPr>
          <w:rFonts w:cs="Arial"/>
          <w:rtl/>
        </w:rPr>
        <w:t xml:space="preserve">8162 </w:t>
      </w:r>
      <w:r>
        <w:t>(Ni₃(HITP)₂ conductivity)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Zhao et al., *Nat. Commun.* **</w:t>
      </w:r>
      <w:r>
        <w:rPr>
          <w:rFonts w:cs="Arial"/>
          <w:rtl/>
        </w:rPr>
        <w:t>2020</w:t>
      </w:r>
      <w:r>
        <w:t>**, *</w:t>
      </w:r>
      <w:r>
        <w:rPr>
          <w:rFonts w:cs="Arial"/>
          <w:rtl/>
        </w:rPr>
        <w:t>11</w:t>
      </w:r>
      <w:r>
        <w:t xml:space="preserve">*, </w:t>
      </w:r>
      <w:r>
        <w:rPr>
          <w:rFonts w:cs="Arial"/>
          <w:rtl/>
        </w:rPr>
        <w:t xml:space="preserve">469 </w:t>
      </w:r>
      <w:r>
        <w:t>(Hydrophobic MOFs via fluorination)</w:t>
      </w:r>
      <w:r>
        <w:rPr>
          <w:rFonts w:cs="Arial"/>
          <w:rtl/>
        </w:rPr>
        <w:t>.</w:t>
      </w:r>
    </w:p>
    <w:p w:rsidR="00244AFD" w:rsidRDefault="00244AFD" w:rsidP="00244AFD">
      <w:r>
        <w:rPr>
          <w:rFonts w:cs="Arial"/>
          <w:rtl/>
        </w:rPr>
        <w:t xml:space="preserve">- </w:t>
      </w:r>
      <w:r>
        <w:t>McDonald et al., *Nature* **</w:t>
      </w:r>
      <w:r>
        <w:rPr>
          <w:rFonts w:cs="Arial"/>
          <w:rtl/>
        </w:rPr>
        <w:t>2015</w:t>
      </w:r>
      <w:r>
        <w:t>**, *</w:t>
      </w:r>
      <w:r>
        <w:rPr>
          <w:rFonts w:cs="Arial"/>
          <w:rtl/>
        </w:rPr>
        <w:t>519</w:t>
      </w:r>
      <w:r>
        <w:t xml:space="preserve">*, </w:t>
      </w:r>
      <w:r>
        <w:rPr>
          <w:rFonts w:cs="Arial"/>
          <w:rtl/>
        </w:rPr>
        <w:t>303</w:t>
      </w:r>
      <w:r>
        <w:t>–</w:t>
      </w:r>
      <w:r>
        <w:rPr>
          <w:rFonts w:cs="Arial"/>
          <w:rtl/>
        </w:rPr>
        <w:t xml:space="preserve">308 </w:t>
      </w:r>
      <w:r>
        <w:t>(IAST selectivity in MOFs)</w:t>
      </w:r>
      <w:r>
        <w:rPr>
          <w:rFonts w:cs="Arial"/>
          <w:rtl/>
        </w:rPr>
        <w:t>.</w:t>
      </w:r>
    </w:p>
    <w:p w:rsidR="00660578" w:rsidRDefault="00244AFD" w:rsidP="00244AFD">
      <w:pPr>
        <w:rPr>
          <w:rFonts w:hint="cs"/>
          <w:rtl/>
        </w:rPr>
      </w:pPr>
      <w:r>
        <w:rPr>
          <w:rFonts w:cs="Arial"/>
          <w:rtl/>
        </w:rPr>
        <w:t xml:space="preserve">- </w:t>
      </w:r>
      <w:r>
        <w:t>Kornienko et al., *ACS Cent. Sci.* **</w:t>
      </w:r>
      <w:r>
        <w:rPr>
          <w:rFonts w:cs="Arial"/>
          <w:rtl/>
        </w:rPr>
        <w:t>2018</w:t>
      </w:r>
      <w:r>
        <w:t>**, *</w:t>
      </w:r>
      <w:r>
        <w:rPr>
          <w:rFonts w:cs="Arial"/>
          <w:rtl/>
        </w:rPr>
        <w:t>4</w:t>
      </w:r>
      <w:r>
        <w:t xml:space="preserve">*, </w:t>
      </w:r>
      <w:r>
        <w:rPr>
          <w:rFonts w:cs="Arial"/>
          <w:rtl/>
        </w:rPr>
        <w:t>1090</w:t>
      </w:r>
      <w:r>
        <w:t>–</w:t>
      </w:r>
      <w:r>
        <w:rPr>
          <w:rFonts w:cs="Arial"/>
          <w:rtl/>
        </w:rPr>
        <w:t xml:space="preserve">1097 </w:t>
      </w:r>
      <w:r>
        <w:t>(Stability of redox-active MOFs)</w:t>
      </w:r>
      <w:r>
        <w:rPr>
          <w:rFonts w:cs="Arial"/>
          <w:rtl/>
        </w:rPr>
        <w:t>.</w:t>
      </w:r>
      <w:bookmarkStart w:id="0" w:name="_GoBack"/>
      <w:bookmarkEnd w:id="0"/>
    </w:p>
    <w:sectPr w:rsidR="00660578" w:rsidSect="008F69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AFD"/>
    <w:rsid w:val="00244AFD"/>
    <w:rsid w:val="00660578"/>
    <w:rsid w:val="008F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62A12-8081-4103-A6A5-841B17FE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سامان مسواری</dc:creator>
  <cp:keywords/>
  <dc:description/>
  <cp:lastModifiedBy>سامان مسواری</cp:lastModifiedBy>
  <cp:revision>2</cp:revision>
  <dcterms:created xsi:type="dcterms:W3CDTF">2026-06-02T09:28:00Z</dcterms:created>
  <dcterms:modified xsi:type="dcterms:W3CDTF">2026-06-02T09:28:00Z</dcterms:modified>
</cp:coreProperties>
</file>