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5784" w14:textId="1FA5F8F5" w:rsidR="00231A48" w:rsidRDefault="00000000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Entropy Regularization, RND, and ICM: A Comparison of</w:t>
      </w:r>
    </w:p>
    <w:p w14:paraId="0231215F" w14:textId="1CE832A7" w:rsidR="00231A48" w:rsidRDefault="00000000"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>Exploration Mechanisms for On and Off-Policy RL Under Sparse Rewards</w:t>
      </w:r>
    </w:p>
    <w:p w14:paraId="31D9F8C1" w14:textId="77777777" w:rsidR="00231A48" w:rsidRDefault="00231A48">
      <w:pPr>
        <w:pBdr>
          <w:bottom w:val="single" w:sz="4" w:space="2" w:color="AAAAAA"/>
        </w:pBdr>
        <w:spacing w:before="80" w:after="80"/>
      </w:pPr>
    </w:p>
    <w:p w14:paraId="2B45438D" w14:textId="77777777" w:rsidR="00286D9B" w:rsidRDefault="00286D9B" w:rsidP="00286D9B">
      <w:pPr>
        <w:spacing w:after="160"/>
        <w:jc w:val="center"/>
      </w:pPr>
      <w:r>
        <w:rPr>
          <w:b/>
          <w:bCs/>
        </w:rPr>
        <w:t xml:space="preserve">Team: </w:t>
      </w:r>
      <w:r>
        <w:t xml:space="preserve">Mohammad (fmoha077@uottawa.ca) </w:t>
      </w:r>
      <w:r w:rsidRPr="004F17B6">
        <w:rPr>
          <w:b/>
          <w:bCs/>
        </w:rPr>
        <w:t>(A)</w:t>
      </w:r>
      <w:r>
        <w:t xml:space="preserve">  |   Anthony Nasr (anasr014@uottawa.ca) </w:t>
      </w:r>
      <w:r w:rsidRPr="004F17B6">
        <w:rPr>
          <w:b/>
          <w:bCs/>
        </w:rPr>
        <w:t>(B)</w:t>
      </w:r>
    </w:p>
    <w:p w14:paraId="1B3D4481" w14:textId="77777777" w:rsidR="00286D9B" w:rsidRPr="00CB3977" w:rsidRDefault="00286D9B" w:rsidP="00286D9B">
      <w:pPr>
        <w:spacing w:after="160"/>
        <w:jc w:val="center"/>
        <w:rPr>
          <w:lang w:val="pt-BR"/>
        </w:rPr>
      </w:pPr>
      <w:r w:rsidRPr="00CB3977">
        <w:rPr>
          <w:lang w:val="pt-BR"/>
        </w:rPr>
        <w:t>|  Md Mosarraf  (mhoss</w:t>
      </w:r>
      <w:r>
        <w:rPr>
          <w:lang w:val="pt-BR"/>
        </w:rPr>
        <w:t>048</w:t>
      </w:r>
      <w:r w:rsidRPr="00CB3977">
        <w:rPr>
          <w:lang w:val="pt-BR"/>
        </w:rPr>
        <w:t xml:space="preserve">@uottawa.ca) </w:t>
      </w:r>
      <w:r w:rsidRPr="004F17B6">
        <w:rPr>
          <w:b/>
          <w:bCs/>
          <w:lang w:val="pt-BR"/>
        </w:rPr>
        <w:t>(C)</w:t>
      </w:r>
      <w:r w:rsidRPr="00CB3977">
        <w:rPr>
          <w:lang w:val="pt-BR"/>
        </w:rPr>
        <w:t xml:space="preserve">  |   Maria</w:t>
      </w:r>
      <w:r>
        <w:rPr>
          <w:lang w:val="pt-BR"/>
        </w:rPr>
        <w:t>na Chavez Flores</w:t>
      </w:r>
      <w:r w:rsidRPr="00CB3977">
        <w:rPr>
          <w:lang w:val="pt-BR"/>
        </w:rPr>
        <w:t xml:space="preserve"> (</w:t>
      </w:r>
      <w:hyperlink r:id="rId7" w:history="1">
        <w:r w:rsidRPr="001E02EC">
          <w:rPr>
            <w:rStyle w:val="Hyperlink"/>
            <w:lang w:val="pt-BR"/>
          </w:rPr>
          <w:t>mchaz097@uottawa.ca</w:t>
        </w:r>
      </w:hyperlink>
      <w:r w:rsidRPr="00CB3977">
        <w:rPr>
          <w:lang w:val="pt-BR"/>
        </w:rPr>
        <w:t>)</w:t>
      </w:r>
      <w:r>
        <w:rPr>
          <w:lang w:val="pt-BR"/>
        </w:rPr>
        <w:t xml:space="preserve"> </w:t>
      </w:r>
      <w:r w:rsidRPr="004F17B6">
        <w:rPr>
          <w:b/>
          <w:bCs/>
          <w:lang w:val="pt-BR"/>
        </w:rPr>
        <w:t>(D)</w:t>
      </w:r>
    </w:p>
    <w:p w14:paraId="40D8705B" w14:textId="77777777" w:rsidR="00231A48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1.  Motivation</w:t>
      </w:r>
    </w:p>
    <w:p w14:paraId="4A5B2CAC" w14:textId="77777777" w:rsidR="00231A48" w:rsidRDefault="00000000">
      <w:pPr>
        <w:spacing w:after="100"/>
        <w:jc w:val="both"/>
      </w:pPr>
      <w:r>
        <w:t xml:space="preserve">Sparse rewards remain one of the central challenges in deep reinforcement learning: an agent may interact with an environment for thousands of steps before receiving any learning signal, making policy optimization slow and unstable. Three families of solutions have emerged — </w:t>
      </w:r>
      <w:r>
        <w:rPr>
          <w:i/>
          <w:iCs/>
        </w:rPr>
        <w:t>entropy regularization</w:t>
      </w:r>
      <w:r>
        <w:t xml:space="preserve">, which encourages exploratory stochastic policies by adding a policy-entropy bonus; </w:t>
      </w:r>
      <w:r>
        <w:rPr>
          <w:i/>
          <w:iCs/>
        </w:rPr>
        <w:t>Random Network Distillation (RND)</w:t>
      </w:r>
      <w:r>
        <w:t xml:space="preserve">, which augments the extrinsic reward with a novelty bonus derived from a fixed random network’s prediction error; and the </w:t>
      </w:r>
      <w:r>
        <w:rPr>
          <w:i/>
          <w:iCs/>
        </w:rPr>
        <w:t>Intrinsic Curiosity Module (ICM)</w:t>
      </w:r>
      <w:r>
        <w:t>, which uses a forward/inverse dynamics model to generate curiosity-driven intrinsic rewards. All three are widely used in practice, yet they are rarely evaluated together under matched compute and controlled reward-density conditions.</w:t>
      </w:r>
    </w:p>
    <w:p w14:paraId="26CDA59E" w14:textId="77777777" w:rsidR="00231A48" w:rsidRDefault="00000000">
      <w:pPr>
        <w:spacing w:after="100"/>
        <w:jc w:val="both"/>
      </w:pPr>
      <w:r>
        <w:t>A successful project would enable practitioners to make principled choices when deploying on-policy (PPO) or off-policy (DQN) agents in sparse-reward settings, targeting a concrete metric: identifying the regime where RND or ICM reduces episodes-to-threshold by ≥20% relative to entropy-only baselines, and whether ICM’s dynamics-based signal offers advantages over RND’s simpler prediction-error approach.</w:t>
      </w:r>
    </w:p>
    <w:p w14:paraId="3A575DCA" w14:textId="77777777" w:rsidR="00231A48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2.  Gap in the Literature</w:t>
      </w:r>
    </w:p>
    <w:p w14:paraId="44B5DB7C" w14:textId="77777777" w:rsidR="00231A48" w:rsidRDefault="00000000">
      <w:pPr>
        <w:spacing w:after="100"/>
        <w:jc w:val="both"/>
      </w:pPr>
      <w:r>
        <w:rPr>
          <w:b/>
          <w:bCs/>
        </w:rPr>
        <w:t xml:space="preserve">Prior work.  </w:t>
      </w:r>
      <w:r>
        <w:t>Mnih et al. (2015) established DQN as a strong off-policy baseline on discrete-action tasks. Schulman et al. (2017) introduced PPO with clipped surrogate objectives. Pathak et al. (2017) proposed ICM, generating curiosity-driven intrinsic rewards via a forward/inverse dynamics model. Burda et al. (2019) proposed RND as a simpler, more scalable alternative based on fixed random network prediction error. These works differ in environments, reward structures, and compute budgets, making direct comparison difficult.</w:t>
      </w:r>
    </w:p>
    <w:p w14:paraId="0FB1FA5E" w14:textId="77777777" w:rsidR="00231A48" w:rsidRDefault="00000000">
      <w:pPr>
        <w:spacing w:after="100"/>
        <w:jc w:val="both"/>
      </w:pPr>
      <w:r>
        <w:rPr>
          <w:b/>
          <w:bCs/>
        </w:rPr>
        <w:t xml:space="preserve">What is missing.  </w:t>
      </w:r>
      <w:r>
        <w:t>No controlled study jointly isolates entropy regularization, RND, and ICM across both on-policy and off-policy algorithms under matched compute and identical reward-density conditions. Prior comparisons either fix the algorithm family or evaluate exploration mechanisms in isolation without a cross-algorithm perspective.</w:t>
      </w:r>
    </w:p>
    <w:p w14:paraId="39DEA537" w14:textId="77777777" w:rsidR="00231A48" w:rsidRDefault="00000000">
      <w:pPr>
        <w:spacing w:after="100"/>
        <w:jc w:val="both"/>
      </w:pPr>
      <w:r>
        <w:rPr>
          <w:b/>
          <w:bCs/>
        </w:rPr>
        <w:t xml:space="preserve">Our angle.  </w:t>
      </w:r>
      <w:r>
        <w:rPr>
          <w:i/>
          <w:iCs/>
        </w:rPr>
        <w:t>No controlled study compares entropy regularization, RND, and ICM across PPO and DQN under matched wall-clock compute on Gymnax classic-control environments with both sparse and dense reward variants.</w:t>
      </w:r>
    </w:p>
    <w:p w14:paraId="2D750A3F" w14:textId="77777777" w:rsidR="00231A48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3.  Research Questions</w:t>
      </w:r>
    </w:p>
    <w:p w14:paraId="7E16CF80" w14:textId="77777777" w:rsidR="00231A48" w:rsidRDefault="00000000">
      <w:pPr>
        <w:spacing w:after="100"/>
        <w:jc w:val="both"/>
      </w:pPr>
      <w:r>
        <w:rPr>
          <w:b/>
          <w:bCs/>
        </w:rPr>
        <w:t xml:space="preserve">Primary: </w:t>
      </w:r>
      <w:r>
        <w:t>Under sparse rewards and matched compute, do RND or ICM intrinsic motivation methods improve sample efficiency (episodes to threshold return) more for on-policy PPO than for off-policy DQN, or is the gap closed by entropy regularization alone?</w:t>
      </w:r>
    </w:p>
    <w:p w14:paraId="4C235FAE" w14:textId="77777777" w:rsidR="00231A48" w:rsidRDefault="00000000">
      <w:pPr>
        <w:spacing w:after="100"/>
        <w:jc w:val="both"/>
      </w:pPr>
      <w:r>
        <w:rPr>
          <w:b/>
          <w:bCs/>
        </w:rPr>
        <w:t xml:space="preserve">Secondary: </w:t>
      </w:r>
      <w:r>
        <w:t>Does ICM’s dynamics-based curiosity signal yield different sample-efficiency gains compared to RND’s prediction-error bonus, and does this difference interact with the on-policy vs. off-policy distinction as reward density varies?</w:t>
      </w:r>
    </w:p>
    <w:p w14:paraId="041A6B8F" w14:textId="77777777" w:rsidR="00231A48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4.  Experimental Methodology</w:t>
      </w:r>
    </w:p>
    <w:p w14:paraId="049CFC28" w14:textId="77777777" w:rsidR="00231A48" w:rsidRDefault="00000000">
      <w:pPr>
        <w:spacing w:after="100"/>
        <w:jc w:val="both"/>
      </w:pPr>
      <w:r>
        <w:rPr>
          <w:b/>
          <w:bCs/>
        </w:rPr>
        <w:t xml:space="preserve">Environment &amp; Data.  </w:t>
      </w:r>
      <w:r>
        <w:t>We use Gymnax (JAX-native) CartPole-v1 and MountainCar-v0. Both support fast, parallelisable rollouts. Sparse-reward variants replace the dense reward with a binary success/failure signal at episode end, controlling reward density as an independent variable.</w:t>
      </w:r>
    </w:p>
    <w:p w14:paraId="15824EA5" w14:textId="77777777" w:rsidR="00231A48" w:rsidRDefault="00000000">
      <w:pPr>
        <w:spacing w:after="100"/>
        <w:jc w:val="both"/>
      </w:pPr>
      <w:r>
        <w:rPr>
          <w:b/>
          <w:bCs/>
        </w:rPr>
        <w:t xml:space="preserve">Algorithms &amp; Conditions (8 total).  </w:t>
      </w:r>
    </w:p>
    <w:p w14:paraId="430FC7B0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PPO</w:t>
      </w:r>
      <w:r>
        <w:t xml:space="preserve"> — on-policy baseline</w:t>
      </w:r>
    </w:p>
    <w:p w14:paraId="4F6C8A2C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PPO + Entropy Regularization</w:t>
      </w:r>
      <w:r>
        <w:t xml:space="preserve"> (α ∈ {0.01, 0.05})</w:t>
      </w:r>
    </w:p>
    <w:p w14:paraId="11FD8EA8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PPO + RND</w:t>
      </w:r>
      <w:r>
        <w:t xml:space="preserve"> — prediction-error intrinsic reward</w:t>
      </w:r>
    </w:p>
    <w:p w14:paraId="4756803F" w14:textId="77777777" w:rsidR="00231A48" w:rsidRPr="00286D9B" w:rsidRDefault="00000000">
      <w:pPr>
        <w:pStyle w:val="ListParagraph"/>
        <w:numPr>
          <w:ilvl w:val="0"/>
          <w:numId w:val="2"/>
        </w:numPr>
        <w:spacing w:after="60"/>
        <w:rPr>
          <w:lang w:val="it-IT"/>
        </w:rPr>
      </w:pPr>
      <w:r w:rsidRPr="00286D9B">
        <w:rPr>
          <w:b/>
          <w:bCs/>
          <w:lang w:val="it-IT"/>
        </w:rPr>
        <w:t>PPO + ICM</w:t>
      </w:r>
      <w:r w:rsidRPr="00286D9B">
        <w:rPr>
          <w:lang w:val="it-IT"/>
        </w:rPr>
        <w:t xml:space="preserve"> — curiosity via forward/inverse dynamics model</w:t>
      </w:r>
    </w:p>
    <w:p w14:paraId="5C82DA16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DQN</w:t>
      </w:r>
      <w:r>
        <w:t xml:space="preserve"> — off-policy baseline</w:t>
      </w:r>
    </w:p>
    <w:p w14:paraId="22F558BC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DQN + Entropy Regularization</w:t>
      </w:r>
    </w:p>
    <w:p w14:paraId="3959D680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DQN + RND</w:t>
      </w:r>
    </w:p>
    <w:p w14:paraId="4686BACD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DQN + ICM</w:t>
      </w:r>
    </w:p>
    <w:p w14:paraId="39B91D32" w14:textId="77777777" w:rsidR="00231A48" w:rsidRDefault="00231A48">
      <w:pPr>
        <w:spacing w:after="60"/>
      </w:pPr>
    </w:p>
    <w:p w14:paraId="0DA1CF06" w14:textId="77777777" w:rsidR="00231A48" w:rsidRDefault="00000000">
      <w:pPr>
        <w:spacing w:after="100"/>
        <w:jc w:val="both"/>
      </w:pPr>
      <w:r>
        <w:t>All conditions use identical MLP architectures (2 hidden layers, 64 units, ReLU) and the same wall-clock budget (2 hours per condition on a personal GPU).</w:t>
      </w:r>
    </w:p>
    <w:p w14:paraId="138FD414" w14:textId="77777777" w:rsidR="00231A48" w:rsidRDefault="00000000">
      <w:pPr>
        <w:spacing w:after="100"/>
        <w:jc w:val="both"/>
      </w:pPr>
      <w:r>
        <w:rPr>
          <w:b/>
          <w:bCs/>
        </w:rPr>
        <w:t xml:space="preserve">Controls &amp; Baselines.  </w:t>
      </w:r>
      <w:r>
        <w:t>A random-action agent and a hand-coded heuristic agent serve as lower bounds. Vanilla PPO and DQN are primary baselines. All methods share identical evaluation protocols (greedy rollouts every 50 training episodes).</w:t>
      </w:r>
    </w:p>
    <w:p w14:paraId="0FC7ADE7" w14:textId="77777777" w:rsidR="00231A48" w:rsidRDefault="00000000">
      <w:pPr>
        <w:spacing w:after="100"/>
        <w:jc w:val="both"/>
      </w:pPr>
      <w:r>
        <w:rPr>
          <w:b/>
          <w:bCs/>
        </w:rPr>
        <w:t xml:space="preserve">Hyperparameter Search.  </w:t>
      </w:r>
      <w:r>
        <w:t>Learning rates ∈ {1e-4, 1e-3}; discount γ = 0.99; entropy coefficient α ∈ {0.01, 0.05}; RND reward scale β ∈ {0.1, 1.0}; ICM curiosity scale η ∈ {0.1, 1.0}. Selection by validation return on a held-out 20% of seeds; fixed budget of 40 configurations.</w:t>
      </w:r>
    </w:p>
    <w:p w14:paraId="7A6737F4" w14:textId="77777777" w:rsidR="00231A48" w:rsidRDefault="00000000">
      <w:pPr>
        <w:spacing w:after="100"/>
        <w:jc w:val="both"/>
      </w:pPr>
      <w:r>
        <w:rPr>
          <w:b/>
          <w:bCs/>
        </w:rPr>
        <w:t xml:space="preserve">Seeds &amp; Statistics.  </w:t>
      </w:r>
      <w:r>
        <w:t>10 independent seeds per condition. Results reported as mean ± standard error with individual seed traces. Welch’s t-test used for pairwise significance.</w:t>
      </w:r>
    </w:p>
    <w:p w14:paraId="64DA7EF4" w14:textId="77777777" w:rsidR="00231A48" w:rsidRDefault="00000000">
      <w:pPr>
        <w:spacing w:after="100"/>
        <w:jc w:val="both"/>
      </w:pPr>
      <w:r>
        <w:rPr>
          <w:b/>
          <w:bCs/>
        </w:rPr>
        <w:t xml:space="preserve">Metrics.  </w:t>
      </w:r>
      <w:r>
        <w:t>Average return vs. episodes; episodes-to-threshold (90% of max return); policy entropy over training; RND/ICM intrinsic reward magnitude over training.</w:t>
      </w:r>
    </w:p>
    <w:p w14:paraId="2D454576" w14:textId="783E85A5" w:rsidR="00231A48" w:rsidRDefault="00000000">
      <w:pPr>
        <w:spacing w:after="100"/>
        <w:jc w:val="both"/>
      </w:pPr>
      <w:r>
        <w:rPr>
          <w:b/>
          <w:bCs/>
        </w:rPr>
        <w:t xml:space="preserve">Compute &amp; Reproducibility.  </w:t>
      </w:r>
      <w:r>
        <w:t>Personal GPU (NVIDIA). JAX + Flax; pinned versions in environment.yml. Public GitHub repo with README, deterministic run scripts, and pre-trained checkpoints. All experiments reproducible from a single shell command.</w:t>
      </w:r>
    </w:p>
    <w:p w14:paraId="0E1AB5E7" w14:textId="56FF9D75" w:rsidR="001B3215" w:rsidRDefault="001B3215">
      <w:pPr>
        <w:spacing w:after="100"/>
        <w:jc w:val="both"/>
      </w:pPr>
      <w:r>
        <w:tab/>
      </w:r>
      <w:r>
        <w:t xml:space="preserve">GitHub Link: </w:t>
      </w:r>
      <w:r w:rsidRPr="000407B4">
        <w:t>https://github.com/mohammad1774/elg5214_group_8_project</w:t>
      </w:r>
    </w:p>
    <w:p w14:paraId="55868C25" w14:textId="77777777" w:rsidR="00231A48" w:rsidRDefault="00000000">
      <w:pPr>
        <w:spacing w:after="100"/>
        <w:jc w:val="both"/>
      </w:pPr>
      <w:r>
        <w:rPr>
          <w:b/>
          <w:bCs/>
        </w:rPr>
        <w:t xml:space="preserve">Risk &amp; Mitigation.  </w:t>
      </w:r>
      <w:r>
        <w:t>Risk: DQN training instability in sparse MountainCar and ICM overhead increasing wall-clock time. Mitigation: gradient clipping (norm 10), prioritised experience replay, lightweight ICM network (1 hidden layer, 64 units), and fallback to CartPole-only if needed.</w:t>
      </w:r>
    </w:p>
    <w:p w14:paraId="25BB3DD6" w14:textId="77777777" w:rsidR="00231A48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5.  Expected Contributions</w:t>
      </w:r>
    </w:p>
    <w:p w14:paraId="1B3FFEC8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t>A reproducible, matched-compute comparison clarifying when RND or ICM outperforms entropy regularization for both PPO and DQN under sparse and dense rewards.</w:t>
      </w:r>
    </w:p>
    <w:p w14:paraId="011DEF70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t>Clean JAX implementations of PPO, DQN, RND, ICM, and entropy regularization, reusable as community baselines.</w:t>
      </w:r>
    </w:p>
    <w:p w14:paraId="747758AD" w14:textId="77777777" w:rsidR="00231A48" w:rsidRDefault="00000000">
      <w:pPr>
        <w:pStyle w:val="ListParagraph"/>
        <w:numPr>
          <w:ilvl w:val="0"/>
          <w:numId w:val="2"/>
        </w:numPr>
        <w:spacing w:after="60"/>
      </w:pPr>
      <w:r>
        <w:t>An ablation over reward density and exploration mechanism revealing crossover points where intrinsic motivation ceases to provide a statistically significant advantage.</w:t>
      </w:r>
    </w:p>
    <w:p w14:paraId="2191DF82" w14:textId="77777777" w:rsidR="00231A48" w:rsidRDefault="00231A48">
      <w:pPr>
        <w:spacing w:after="60"/>
      </w:pPr>
    </w:p>
    <w:p w14:paraId="74384A93" w14:textId="77777777" w:rsidR="00231A48" w:rsidRDefault="00000000">
      <w:pPr>
        <w:pBdr>
          <w:bottom w:val="single" w:sz="4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6.  Work Distribution</w:t>
      </w:r>
    </w:p>
    <w:p w14:paraId="2E91ED21" w14:textId="5E6C03CF" w:rsidR="00231A48" w:rsidRDefault="00000000">
      <w:pPr>
        <w:spacing w:after="100"/>
        <w:jc w:val="both"/>
      </w:pPr>
      <w:r>
        <w:rPr>
          <w:b/>
          <w:bCs/>
        </w:rPr>
        <w:t>Student A</w:t>
      </w:r>
      <w:r>
        <w:t xml:space="preserve"> will lead the literature review and finalise the research questions. </w:t>
      </w:r>
      <w:r>
        <w:rPr>
          <w:b/>
          <w:bCs/>
        </w:rPr>
        <w:t>Student</w:t>
      </w:r>
      <w:r w:rsidR="00286D9B">
        <w:rPr>
          <w:b/>
          <w:bCs/>
        </w:rPr>
        <w:t xml:space="preserve"> B &amp;</w:t>
      </w:r>
      <w:r>
        <w:rPr>
          <w:b/>
          <w:bCs/>
        </w:rPr>
        <w:t xml:space="preserve"> C</w:t>
      </w:r>
      <w:r>
        <w:t xml:space="preserve"> will implement and validate the PPO variants (baseline, entropy, RND, ICM). </w:t>
      </w:r>
      <w:r>
        <w:rPr>
          <w:b/>
          <w:bCs/>
        </w:rPr>
        <w:t>Student</w:t>
      </w:r>
      <w:r w:rsidR="00286D9B">
        <w:rPr>
          <w:b/>
          <w:bCs/>
        </w:rPr>
        <w:t xml:space="preserve"> A &amp;</w:t>
      </w:r>
      <w:r>
        <w:rPr>
          <w:b/>
          <w:bCs/>
        </w:rPr>
        <w:t xml:space="preserve"> D</w:t>
      </w:r>
      <w:r>
        <w:t xml:space="preserve"> will implement and validate the DQN variants (baseline, entropy, RND, ICM). </w:t>
      </w:r>
      <w:r>
        <w:rPr>
          <w:b/>
          <w:bCs/>
        </w:rPr>
        <w:t>All members</w:t>
      </w:r>
      <w:r>
        <w:t xml:space="preserve"> will contribute to experiment design, hyperparameter sweeps, statistical analysis, and report writing. Code review is cross-assigned (A reviews D’s code, B reviews C’s code</w:t>
      </w:r>
      <w:r w:rsidR="00286D9B">
        <w:t xml:space="preserve"> and vis a vis</w:t>
      </w:r>
      <w:r>
        <w:t>) to ensure correctness.</w:t>
      </w:r>
    </w:p>
    <w:p w14:paraId="2F42CB0E" w14:textId="77777777" w:rsidR="00231A48" w:rsidRDefault="00231A48">
      <w:pPr>
        <w:pBdr>
          <w:bottom w:val="single" w:sz="4" w:space="2" w:color="AAAAAA"/>
        </w:pBdr>
        <w:spacing w:before="80" w:after="80"/>
      </w:pPr>
    </w:p>
    <w:p w14:paraId="3074972D" w14:textId="77777777" w:rsidR="00231A48" w:rsidRDefault="00000000">
      <w:pPr>
        <w:spacing w:before="80" w:after="80"/>
      </w:pPr>
      <w:r>
        <w:rPr>
          <w:b/>
          <w:bCs/>
        </w:rPr>
        <w:t>References</w:t>
      </w:r>
    </w:p>
    <w:p w14:paraId="03D870F1" w14:textId="77777777" w:rsidR="00231A48" w:rsidRDefault="00000000">
      <w:pPr>
        <w:spacing w:after="60"/>
      </w:pPr>
      <w:r>
        <w:rPr>
          <w:color w:val="444444"/>
          <w:sz w:val="18"/>
          <w:szCs w:val="18"/>
        </w:rPr>
        <w:t>[1] Mnih, V. et al. (2015). Human-level control through deep reinforcement learning. Nature, 518, 529–533.</w:t>
      </w:r>
    </w:p>
    <w:p w14:paraId="21718DFE" w14:textId="77777777" w:rsidR="00231A48" w:rsidRDefault="00000000">
      <w:pPr>
        <w:spacing w:after="60"/>
      </w:pPr>
      <w:r>
        <w:rPr>
          <w:color w:val="444444"/>
          <w:sz w:val="18"/>
          <w:szCs w:val="18"/>
        </w:rPr>
        <w:t>[2] Schulman, J. et al. (2017). Proximal Policy Optimization Algorithms. arXiv:1707.06347.</w:t>
      </w:r>
    </w:p>
    <w:p w14:paraId="1C6104D8" w14:textId="77777777" w:rsidR="00231A48" w:rsidRDefault="00000000">
      <w:pPr>
        <w:spacing w:after="60"/>
      </w:pPr>
      <w:r>
        <w:rPr>
          <w:color w:val="444444"/>
          <w:sz w:val="18"/>
          <w:szCs w:val="18"/>
        </w:rPr>
        <w:t>[3] Pathak, D. et al. (2017). Curiosity-driven Exploration by Self-Supervised Prediction. ICML 2017.</w:t>
      </w:r>
    </w:p>
    <w:p w14:paraId="51039574" w14:textId="77777777" w:rsidR="00231A48" w:rsidRDefault="00000000">
      <w:pPr>
        <w:spacing w:after="60"/>
      </w:pPr>
      <w:r>
        <w:rPr>
          <w:color w:val="444444"/>
          <w:sz w:val="18"/>
          <w:szCs w:val="18"/>
        </w:rPr>
        <w:t>[4] Burda, Y. et al. (2019). Exploration by Random Network Distillation. ICLR 2019.</w:t>
      </w:r>
    </w:p>
    <w:p w14:paraId="11896BD2" w14:textId="77777777" w:rsidR="00231A48" w:rsidRDefault="00000000">
      <w:pPr>
        <w:spacing w:after="60"/>
      </w:pPr>
      <w:r>
        <w:rPr>
          <w:color w:val="444444"/>
          <w:sz w:val="18"/>
          <w:szCs w:val="18"/>
        </w:rPr>
        <w:t>[5] Lax, M. et al. (2023). Gymnax: A JAX-based Reinforcement Learning Environment Library. arXiv:2311.16943.</w:t>
      </w:r>
    </w:p>
    <w:sectPr w:rsidR="00231A4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6D003" w14:textId="77777777" w:rsidR="00114E77" w:rsidRDefault="00114E77" w:rsidP="001B3215">
      <w:r>
        <w:separator/>
      </w:r>
    </w:p>
  </w:endnote>
  <w:endnote w:type="continuationSeparator" w:id="0">
    <w:p w14:paraId="08F24F31" w14:textId="77777777" w:rsidR="00114E77" w:rsidRDefault="00114E77" w:rsidP="001B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5BAA" w14:textId="77777777" w:rsidR="00114E77" w:rsidRDefault="00114E77" w:rsidP="001B3215">
      <w:r>
        <w:separator/>
      </w:r>
    </w:p>
  </w:footnote>
  <w:footnote w:type="continuationSeparator" w:id="0">
    <w:p w14:paraId="11C63731" w14:textId="77777777" w:rsidR="00114E77" w:rsidRDefault="00114E77" w:rsidP="001B3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4F95"/>
    <w:multiLevelType w:val="hybridMultilevel"/>
    <w:tmpl w:val="7DC4486A"/>
    <w:lvl w:ilvl="0" w:tplc="76DA13C4">
      <w:start w:val="1"/>
      <w:numFmt w:val="bullet"/>
      <w:lvlText w:val="•"/>
      <w:lvlJc w:val="left"/>
      <w:pPr>
        <w:ind w:left="720" w:hanging="360"/>
      </w:pPr>
    </w:lvl>
    <w:lvl w:ilvl="1" w:tplc="8FA65388">
      <w:numFmt w:val="decimal"/>
      <w:lvlText w:val=""/>
      <w:lvlJc w:val="left"/>
    </w:lvl>
    <w:lvl w:ilvl="2" w:tplc="1EDC2382">
      <w:numFmt w:val="decimal"/>
      <w:lvlText w:val=""/>
      <w:lvlJc w:val="left"/>
    </w:lvl>
    <w:lvl w:ilvl="3" w:tplc="76D8C7FE">
      <w:numFmt w:val="decimal"/>
      <w:lvlText w:val=""/>
      <w:lvlJc w:val="left"/>
    </w:lvl>
    <w:lvl w:ilvl="4" w:tplc="EAE4B4BA">
      <w:numFmt w:val="decimal"/>
      <w:lvlText w:val=""/>
      <w:lvlJc w:val="left"/>
    </w:lvl>
    <w:lvl w:ilvl="5" w:tplc="E8662350">
      <w:numFmt w:val="decimal"/>
      <w:lvlText w:val=""/>
      <w:lvlJc w:val="left"/>
    </w:lvl>
    <w:lvl w:ilvl="6" w:tplc="2452D43C">
      <w:numFmt w:val="decimal"/>
      <w:lvlText w:val=""/>
      <w:lvlJc w:val="left"/>
    </w:lvl>
    <w:lvl w:ilvl="7" w:tplc="9FF044AC">
      <w:numFmt w:val="decimal"/>
      <w:lvlText w:val=""/>
      <w:lvlJc w:val="left"/>
    </w:lvl>
    <w:lvl w:ilvl="8" w:tplc="F47847A4">
      <w:numFmt w:val="decimal"/>
      <w:lvlText w:val=""/>
      <w:lvlJc w:val="left"/>
    </w:lvl>
  </w:abstractNum>
  <w:abstractNum w:abstractNumId="1" w15:restartNumberingAfterBreak="0">
    <w:nsid w:val="7130056F"/>
    <w:multiLevelType w:val="hybridMultilevel"/>
    <w:tmpl w:val="33327794"/>
    <w:lvl w:ilvl="0" w:tplc="C308C584">
      <w:start w:val="1"/>
      <w:numFmt w:val="bullet"/>
      <w:lvlText w:val="●"/>
      <w:lvlJc w:val="left"/>
      <w:pPr>
        <w:ind w:left="720" w:hanging="360"/>
      </w:pPr>
    </w:lvl>
    <w:lvl w:ilvl="1" w:tplc="138E88FC">
      <w:start w:val="1"/>
      <w:numFmt w:val="bullet"/>
      <w:lvlText w:val="○"/>
      <w:lvlJc w:val="left"/>
      <w:pPr>
        <w:ind w:left="1440" w:hanging="360"/>
      </w:pPr>
    </w:lvl>
    <w:lvl w:ilvl="2" w:tplc="CE4008A8">
      <w:start w:val="1"/>
      <w:numFmt w:val="bullet"/>
      <w:lvlText w:val="■"/>
      <w:lvlJc w:val="left"/>
      <w:pPr>
        <w:ind w:left="2160" w:hanging="360"/>
      </w:pPr>
    </w:lvl>
    <w:lvl w:ilvl="3" w:tplc="73420F68">
      <w:start w:val="1"/>
      <w:numFmt w:val="bullet"/>
      <w:lvlText w:val="●"/>
      <w:lvlJc w:val="left"/>
      <w:pPr>
        <w:ind w:left="2880" w:hanging="360"/>
      </w:pPr>
    </w:lvl>
    <w:lvl w:ilvl="4" w:tplc="80C2F6E2">
      <w:start w:val="1"/>
      <w:numFmt w:val="bullet"/>
      <w:lvlText w:val="○"/>
      <w:lvlJc w:val="left"/>
      <w:pPr>
        <w:ind w:left="3600" w:hanging="360"/>
      </w:pPr>
    </w:lvl>
    <w:lvl w:ilvl="5" w:tplc="F6D00EB8">
      <w:start w:val="1"/>
      <w:numFmt w:val="bullet"/>
      <w:lvlText w:val="■"/>
      <w:lvlJc w:val="left"/>
      <w:pPr>
        <w:ind w:left="4320" w:hanging="360"/>
      </w:pPr>
    </w:lvl>
    <w:lvl w:ilvl="6" w:tplc="F5348974">
      <w:start w:val="1"/>
      <w:numFmt w:val="bullet"/>
      <w:lvlText w:val="●"/>
      <w:lvlJc w:val="left"/>
      <w:pPr>
        <w:ind w:left="5040" w:hanging="360"/>
      </w:pPr>
    </w:lvl>
    <w:lvl w:ilvl="7" w:tplc="93500C6A">
      <w:start w:val="1"/>
      <w:numFmt w:val="bullet"/>
      <w:lvlText w:val="●"/>
      <w:lvlJc w:val="left"/>
      <w:pPr>
        <w:ind w:left="5760" w:hanging="360"/>
      </w:pPr>
    </w:lvl>
    <w:lvl w:ilvl="8" w:tplc="9586E210">
      <w:start w:val="1"/>
      <w:numFmt w:val="bullet"/>
      <w:lvlText w:val="●"/>
      <w:lvlJc w:val="left"/>
      <w:pPr>
        <w:ind w:left="6480" w:hanging="360"/>
      </w:pPr>
    </w:lvl>
  </w:abstractNum>
  <w:num w:numId="1" w16cid:durableId="475338982">
    <w:abstractNumId w:val="1"/>
    <w:lvlOverride w:ilvl="0">
      <w:startOverride w:val="1"/>
    </w:lvlOverride>
  </w:num>
  <w:num w:numId="2" w16cid:durableId="1385063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A48"/>
    <w:rsid w:val="00114E77"/>
    <w:rsid w:val="001B3215"/>
    <w:rsid w:val="00231A48"/>
    <w:rsid w:val="00286D9B"/>
    <w:rsid w:val="0059112A"/>
    <w:rsid w:val="00AB2E42"/>
    <w:rsid w:val="00C90024"/>
    <w:rsid w:val="00DF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8C7AC"/>
  <w15:docId w15:val="{A12F561E-9E63-4483-863C-295BD0E5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2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215"/>
  </w:style>
  <w:style w:type="paragraph" w:styleId="Footer">
    <w:name w:val="footer"/>
    <w:basedOn w:val="Normal"/>
    <w:link w:val="FooterChar"/>
    <w:uiPriority w:val="99"/>
    <w:unhideWhenUsed/>
    <w:rsid w:val="001B32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chaz097@uottawa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.</cp:lastModifiedBy>
  <cp:revision>7</cp:revision>
  <cp:lastPrinted>2026-02-25T03:31:00Z</cp:lastPrinted>
  <dcterms:created xsi:type="dcterms:W3CDTF">2026-02-24T23:13:00Z</dcterms:created>
  <dcterms:modified xsi:type="dcterms:W3CDTF">2026-02-25T03:32:00Z</dcterms:modified>
</cp:coreProperties>
</file>