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63F" w14:textId="77777777" w:rsidR="004B617D" w:rsidRPr="00697B2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97B24">
        <w:rPr>
          <w:rFonts w:ascii="Times New Roman" w:hAnsi="Times New Roman" w:cs="Times New Roman"/>
          <w:b/>
          <w:sz w:val="28"/>
          <w:szCs w:val="28"/>
        </w:rPr>
        <w:t>Student Case Pack: Company-Specific Mini-Cases on Sustainable Supply Chains (Pakistan)</w:t>
      </w:r>
    </w:p>
    <w:p w14:paraId="081345C1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Instructor: Syed Rehan Ashraf | Date: 07 January 2026</w:t>
      </w:r>
    </w:p>
    <w:p w14:paraId="6667B1FE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How to Use This Case Pack</w:t>
      </w:r>
    </w:p>
    <w:p w14:paraId="3324481B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Each mini-case provides a Pakistan-based company context, a brief supply chain situation, available data/assumptions, and questions you must answer. Use concepts from the lecture: Triple Bottom Line (Figure 13.1), Resource Footprint across Design–Source–Make–Deliver–Return (Figure 13.2), Transport Intensity, Eco-Efficiency, and Reverse Logistics (3Rs). Where data is missing, state assumptions clearly and show calculations.</w:t>
      </w:r>
    </w:p>
    <w:p w14:paraId="11EEEFE7" w14:textId="781C47CB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 xml:space="preserve">Submission format: 3–4 pages per case, calculations + Work in groups of </w:t>
      </w:r>
      <w:r w:rsidR="00697B24">
        <w:rPr>
          <w:rFonts w:ascii="Times New Roman" w:hAnsi="Times New Roman" w:cs="Times New Roman"/>
          <w:sz w:val="24"/>
          <w:szCs w:val="24"/>
        </w:rPr>
        <w:t>2</w:t>
      </w:r>
      <w:r w:rsidRPr="00697B24">
        <w:rPr>
          <w:rFonts w:ascii="Times New Roman" w:hAnsi="Times New Roman" w:cs="Times New Roman"/>
          <w:sz w:val="24"/>
          <w:szCs w:val="24"/>
        </w:rPr>
        <w:t>–</w:t>
      </w:r>
      <w:r w:rsidR="00697B24">
        <w:rPr>
          <w:rFonts w:ascii="Times New Roman" w:hAnsi="Times New Roman" w:cs="Times New Roman"/>
          <w:sz w:val="24"/>
          <w:szCs w:val="24"/>
        </w:rPr>
        <w:t>3</w:t>
      </w:r>
      <w:r w:rsidRPr="00697B24">
        <w:rPr>
          <w:rFonts w:ascii="Times New Roman" w:hAnsi="Times New Roman" w:cs="Times New Roman"/>
          <w:sz w:val="24"/>
          <w:szCs w:val="24"/>
        </w:rPr>
        <w:t>.</w:t>
      </w:r>
    </w:p>
    <w:p w14:paraId="16763E52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Case 1: Interloop Ltd. – Knits/Apparel Export Sustainability</w:t>
      </w:r>
    </w:p>
    <w:p w14:paraId="51419B9E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Context: Interloop is a leading hosiery/knits exporter headquartered in Faisalabad with manufacturing across Pakistan. International buyers request lower carbon and water footprints and evidence of circularity in textile waste management.</w:t>
      </w:r>
    </w:p>
    <w:p w14:paraId="5CFBCF58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Situation</w:t>
      </w:r>
    </w:p>
    <w:p w14:paraId="434E3FBB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Interloop ships finished goods weekly from Faisalabad/Lahore to Port Qasim (Karachi). Current practice uses mixed LCL shipments and ad‑hoc trucking with variable utilization (50–65%). Effluent treatment exists but Zero‑Liquid‑Discharge (ZLD) is being evaluated. Packaging is conventional (carton + polybag).</w:t>
      </w:r>
    </w:p>
    <w:p w14:paraId="2BEFBDD4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Available Data/Assumptions</w:t>
      </w:r>
    </w:p>
    <w:p w14:paraId="27524024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Weekly volume: 120,000 units; average unit weight: 0.25 kg; carton: 24 units.</w:t>
      </w:r>
    </w:p>
    <w:p w14:paraId="19735B8E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Route: Faisalabad→Karachi ≈ 1,150 km; Lahore→Karachi ≈ 1,215 km (assume 60%/40% split).</w:t>
      </w:r>
    </w:p>
    <w:p w14:paraId="798C0C15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Current truck utilization: 60%; optimized target: 85% via consolidation and pallet pattern redesign.</w:t>
      </w:r>
    </w:p>
    <w:p w14:paraId="0CB875FF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Fuel factor: 0.3 L/km for loaded 22–26 ft trucks; 0.22 L/km for return (lightly loaded).</w:t>
      </w:r>
    </w:p>
    <w:p w14:paraId="1B936E90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Textile offcuts generated: 2.5% of fabric input; recycling partner can reclaim 80% into yarn.</w:t>
      </w:r>
    </w:p>
    <w:p w14:paraId="02054343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Questions (Answer with calculations)</w:t>
      </w:r>
    </w:p>
    <w:p w14:paraId="1EF2169E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Q1. Compute current vs optimized transport intensity (km per unit) and total diesel use for weekly shipments. What is the % reduction?</w:t>
      </w:r>
    </w:p>
    <w:p w14:paraId="485A647F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Q2. Propose a consolidation plan (LCL→FCL) and show container/truck counts by lane. Include pallet/case configuration changes.</w:t>
      </w:r>
    </w:p>
    <w:p w14:paraId="4ECE365A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lastRenderedPageBreak/>
        <w:t>Q3. Design a reverse‑logistics flow for textile offcuts and buyer take‑back. Estimate annual tonnes diverted from landfill and emissions avoided.</w:t>
      </w:r>
    </w:p>
    <w:p w14:paraId="5807E8D8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Q4. Build a resource‑footprint map (Design→Source→Make→Deliver→Return) prioritizing top 5 interventions and KPI targets for the next 12 months.</w:t>
      </w:r>
    </w:p>
    <w:p w14:paraId="427C919E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Case 2: Nishat Mills – Spinning/Weaving/Dyeing Resource Footprint</w:t>
      </w:r>
    </w:p>
    <w:p w14:paraId="3FEB2A7F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Context: Nishat operates integrated spinning and weaving with finishing/dyeing. Global customers seek verified reductions in energy and water per kg of fabric, plus logistics network optimization to lower emissions.</w:t>
      </w:r>
    </w:p>
    <w:p w14:paraId="3BCA2AA5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Situation</w:t>
      </w:r>
    </w:p>
    <w:p w14:paraId="55D2D3FB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Multiple plants in Punjab supply export DCs near Karachi. Steam generation for dyeing consumes natural gas; electricity is grid + solar (10% share). Freight is mostly road with occasional rail trials.</w:t>
      </w:r>
    </w:p>
    <w:p w14:paraId="141B2E6F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Available Data/Assumptions</w:t>
      </w:r>
    </w:p>
    <w:p w14:paraId="71D12187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Baseline energy: 4.5 kWh/kg fabric; baseline water: 65 L/kg fabric.</w:t>
      </w:r>
    </w:p>
    <w:p w14:paraId="7F0023A3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Target reductions: energy −12%, water −20% via process controls and heat recovery.</w:t>
      </w:r>
    </w:p>
    <w:p w14:paraId="43641E20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Weekly fabric output for export: 180 tonnes; average bale size: 500 kg.</w:t>
      </w:r>
    </w:p>
    <w:p w14:paraId="72E4797A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Karachi port congestion adds 1.5 days average dwell; consolidation hubs may cut 20% of urban kilometers.</w:t>
      </w:r>
    </w:p>
    <w:p w14:paraId="421544F1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Questions</w:t>
      </w:r>
    </w:p>
    <w:p w14:paraId="4502A2B3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 xml:space="preserve">Q1. Calculate energy and water savings per week if targets are met. Translate 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to cost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 xml:space="preserve"> energy = PKR 45/kWh and water = PKR 0.5/L (state assumptions for tariffs).</w:t>
      </w:r>
    </w:p>
    <w:p w14:paraId="11287C01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Q2. Propose a Deliver‑stage redesign (hub‑and‑spoke + cross‑dock). Quantify km saved and emissions using your assumed factors.</w:t>
      </w:r>
    </w:p>
    <w:p w14:paraId="5929F712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Q3. Create supplier scorecards for Source‑stage (minimum 5 criteria) and a Make‑stage KPI dashboard aligned to Triple Bottom Line.</w:t>
      </w:r>
    </w:p>
    <w:p w14:paraId="39F85D08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Case 3: Engro Foods – Dairy Cold‑Chain Optimization</w:t>
      </w:r>
    </w:p>
    <w:p w14:paraId="0815E08A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Context: Engro’s refrigerated distribution serves urban retailers. Diesel costs and emissions are rising; overlapping routes increase kilometers.</w:t>
      </w:r>
    </w:p>
    <w:p w14:paraId="4A53BF6F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Situation</w:t>
      </w:r>
    </w:p>
    <w:p w14:paraId="09E3F319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Three brands run parallel routes in Lahore, each averaging 180 km/day. Trucks are 14–16 ft refrigerated vans. Micro‑hubs at city edges are being considered.</w:t>
      </w:r>
    </w:p>
    <w:p w14:paraId="08F1BD88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Available Data/Assumptions</w:t>
      </w:r>
    </w:p>
    <w:p w14:paraId="3D00CDC4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Fuel factor: 0.35 L/km for reefers.</w:t>
      </w:r>
    </w:p>
    <w:p w14:paraId="62E2BD5B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lastRenderedPageBreak/>
        <w:t>Shared routing can remove ~35% overlaps; delivery time windows 10:00–14:00 and 17:00–20:00.</w:t>
      </w:r>
    </w:p>
    <w:p w14:paraId="2F872E24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Average load utilization: 70%; target: 85% with pallet/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case re‑patterning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>.</w:t>
      </w:r>
    </w:p>
    <w:p w14:paraId="7001EC00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Questions</w:t>
      </w:r>
    </w:p>
    <w:p w14:paraId="14C79C70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Q1. Design a shared routing plan and compute daily km saved and diesel reduced. Annualize the benefit for 300 operating days.</w:t>
      </w:r>
    </w:p>
    <w:p w14:paraId="48C91F79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Q2. Recommend micro‑hub locations (edge of Lahore) and quantify how time windows affect congestion and service levels.</w:t>
      </w:r>
    </w:p>
    <w:p w14:paraId="66C933EE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Q3. Draft a reverse‑logistics SOP for crates and expired product returns aligned with 3Rs (reuse/recycle).</w:t>
      </w:r>
    </w:p>
    <w:p w14:paraId="4FDA1C88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Case 4: Unilever Pakistan – Packaging Lightweighting &amp; Shared Distribution</w:t>
      </w:r>
    </w:p>
    <w:p w14:paraId="7D857CE5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 xml:space="preserve">Context: Unilever targets transport‑intensity reduction by 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lightweighting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 xml:space="preserve"> packaging and sharing backhauls with retailers. Focus corridors: Lahore–Islamabad–Peshawar.</w:t>
      </w:r>
    </w:p>
    <w:p w14:paraId="05156830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Available Data/Assumptions</w:t>
      </w:r>
    </w:p>
    <w:p w14:paraId="214AAAD1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 xml:space="preserve">Current packaging reduces truck cube utilization to 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78%;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 xml:space="preserve"> lightweighting lifts utilization to 88% without damage risk.</w:t>
      </w:r>
    </w:p>
    <w:p w14:paraId="4887E24D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 xml:space="preserve">Shared backhauls 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available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 xml:space="preserve"> with two national retailers, adding 15% more return‑load utilization.</w:t>
      </w:r>
    </w:p>
    <w:p w14:paraId="20017DAA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Fuel factor: 0.28 L/km for 22–26 ft trucks.</w:t>
      </w:r>
    </w:p>
    <w:p w14:paraId="743EA67D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Questions</w:t>
      </w:r>
    </w:p>
    <w:p w14:paraId="22861168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Q1. Quantify km and fuel savings from packaging lightweighting and shared backhauls across the corridor.</w:t>
      </w:r>
    </w:p>
    <w:p w14:paraId="0C569056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Q2. Create a Deliver‑stage network map showing DCs, cross‑dock nodes, and retailer backhaul integration; list KPIs to monitor.</w:t>
      </w:r>
    </w:p>
    <w:p w14:paraId="6FEBE6A4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Q3. Evaluate consumer‑side impacts (People lens): product damage, shelf availability, and worker safety; propose mitigation measures.</w:t>
      </w:r>
    </w:p>
    <w:p w14:paraId="47FC12A5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Case 5: Daraz – Urban E‑commerce Consolidation &amp; Returns</w:t>
      </w:r>
    </w:p>
    <w:p w14:paraId="2C642187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Context: Daraz faces rising last‑mile costs and returns management complexity in Lahore/Karachi. Congestion and fragmented courier networks lead to empty miles.</w:t>
      </w:r>
    </w:p>
    <w:p w14:paraId="18670CDD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Available Data/Assumptions</w:t>
      </w:r>
    </w:p>
    <w:p w14:paraId="44654570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Daily orders (Lahore): 12,000; average stops per route: 40; current failed‑delivery rate: 8%.</w:t>
      </w:r>
    </w:p>
    <w:p w14:paraId="7C25BAA4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Urban consolidation center (UCC) can reduce inner‑city runs by 20% via zone batching.</w:t>
      </w:r>
    </w:p>
    <w:p w14:paraId="4E76276E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lastRenderedPageBreak/>
        <w:t>Reverse logistics: 30% of returns are non‑faulty; potential to refurbish/refurbish packaging and resell.</w:t>
      </w:r>
    </w:p>
    <w:p w14:paraId="25D3788F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Questions</w:t>
      </w:r>
    </w:p>
    <w:p w14:paraId="3CC4D85F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Q1. Model km saved per day with UCCs and zone batching; estimate courier capacity utilization change.</w:t>
      </w:r>
    </w:p>
    <w:p w14:paraId="66AD86DB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Q2. Design a closed‑loop returns process (Return stage) to raise recovery rate above 70% and cut failed deliveries to 5%.</w:t>
      </w:r>
    </w:p>
    <w:p w14:paraId="2A1B714D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 xml:space="preserve">Q3. Propose a data dashboard: real‑time routing, capacity, failed deliveries, and </w:t>
      </w:r>
      <w:proofErr w:type="gramStart"/>
      <w:r w:rsidRPr="00697B24">
        <w:rPr>
          <w:rFonts w:ascii="Times New Roman" w:hAnsi="Times New Roman" w:cs="Times New Roman"/>
          <w:sz w:val="24"/>
          <w:szCs w:val="24"/>
        </w:rPr>
        <w:t>returns</w:t>
      </w:r>
      <w:proofErr w:type="gramEnd"/>
      <w:r w:rsidRPr="00697B24">
        <w:rPr>
          <w:rFonts w:ascii="Times New Roman" w:hAnsi="Times New Roman" w:cs="Times New Roman"/>
          <w:sz w:val="24"/>
          <w:szCs w:val="24"/>
        </w:rPr>
        <w:t xml:space="preserve"> recovery (KPIs + thresholds).</w:t>
      </w:r>
    </w:p>
    <w:p w14:paraId="79D66678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Case 6: TCS &amp; Bykea – Shared Rider Network and Micro‑Hub Collaboration</w:t>
      </w:r>
    </w:p>
    <w:p w14:paraId="3125FF15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Context: Courier (TCS) and ride‑hailing logistics (Bykea) consider sharing rider capacity and setting up micro‑hubs near congested areas to reduce empty miles and improve service windows.</w:t>
      </w:r>
    </w:p>
    <w:p w14:paraId="19B79B47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Available Data/Assumptions</w:t>
      </w:r>
    </w:p>
    <w:p w14:paraId="33CCB3AF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Average rider km/day: 95; empty‑mile share: 30%. Target: &lt;15% with hub‑and‑spoke routing.</w:t>
      </w:r>
    </w:p>
    <w:p w14:paraId="4F15FF97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Delivery windows: 11:00–15:00 and 17:00–21:00; micro‑hubs reduce inner‑city traversal by 25%.</w:t>
      </w:r>
    </w:p>
    <w:p w14:paraId="19FB147B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Return flows: COD reconciliation materials and small parcel returns handled at hubs.</w:t>
      </w:r>
    </w:p>
    <w:p w14:paraId="504D773E" w14:textId="77777777" w:rsidR="004B617D" w:rsidRPr="00697B2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Questions</w:t>
      </w:r>
    </w:p>
    <w:p w14:paraId="46E46714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Q1. Compute reduction in empty miles and fuel use after micro‑hubs + shared rider dispatch.</w:t>
      </w:r>
    </w:p>
    <w:p w14:paraId="43535723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Q2. Draft the SOP for shared distribution across competitors (data sharing, security, service levels).</w:t>
      </w:r>
    </w:p>
    <w:p w14:paraId="6F42B0A1" w14:textId="77777777" w:rsidR="004B617D" w:rsidRPr="00697B24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Q3. Map People/Planet/Profit impacts and define 90‑day pilot metrics.</w:t>
      </w:r>
    </w:p>
    <w:p w14:paraId="6C7F054D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t>Grading Rubric (Per Case)</w:t>
      </w:r>
    </w:p>
    <w:p w14:paraId="5FFB3BB4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(30%) Calculations &amp; Assumptions: correctness, transparency, realism.</w:t>
      </w:r>
    </w:p>
    <w:p w14:paraId="442E5569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(25%) Design–Source–Make–Deliver–Return mapping quality and prioritization.</w:t>
      </w:r>
    </w:p>
    <w:p w14:paraId="408F8200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(20%) Feasibility &amp; Risk analysis: operational, financial, regulatory.</w:t>
      </w:r>
    </w:p>
    <w:p w14:paraId="5C7B0035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(15%) People/Planet/Profit balance: measurable KPIs.</w:t>
      </w:r>
    </w:p>
    <w:p w14:paraId="75C3D2A8" w14:textId="77777777" w:rsidR="004B617D" w:rsidRPr="00697B2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(10%) Clarity of write‑up and visuals (tables/charts/flows).</w:t>
      </w:r>
    </w:p>
    <w:p w14:paraId="74757C53" w14:textId="77777777" w:rsidR="004B617D" w:rsidRPr="00697B2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97B24">
        <w:rPr>
          <w:rFonts w:ascii="Times New Roman" w:hAnsi="Times New Roman" w:cs="Times New Roman"/>
          <w:color w:val="auto"/>
          <w:sz w:val="24"/>
          <w:szCs w:val="24"/>
        </w:rPr>
        <w:lastRenderedPageBreak/>
        <w:t>References</w:t>
      </w:r>
    </w:p>
    <w:p w14:paraId="5A2F81C0" w14:textId="77777777" w:rsidR="004B617D" w:rsidRPr="00697B24" w:rsidRDefault="00000000">
      <w:pPr>
        <w:rPr>
          <w:rFonts w:ascii="Times New Roman" w:hAnsi="Times New Roman" w:cs="Times New Roman"/>
          <w:sz w:val="24"/>
          <w:szCs w:val="24"/>
        </w:rPr>
      </w:pPr>
      <w:r w:rsidRPr="00697B24">
        <w:rPr>
          <w:rFonts w:ascii="Times New Roman" w:hAnsi="Times New Roman" w:cs="Times New Roman"/>
          <w:sz w:val="24"/>
          <w:szCs w:val="24"/>
        </w:rPr>
        <w:t>Lecture book chapter (uploaded): 'Creating a Sustainable Supply Chain' (pp. 241–254). Concepts used: Triple Bottom Line (Figure 13.1), Resource Footprint (Figure 13.2), transport intensity, eco‑efficiency, reverse logistics, congestion, collaboration.</w:t>
      </w:r>
    </w:p>
    <w:sectPr w:rsidR="004B617D" w:rsidRPr="00697B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19462">
    <w:abstractNumId w:val="8"/>
  </w:num>
  <w:num w:numId="2" w16cid:durableId="453598998">
    <w:abstractNumId w:val="6"/>
  </w:num>
  <w:num w:numId="3" w16cid:durableId="791049013">
    <w:abstractNumId w:val="5"/>
  </w:num>
  <w:num w:numId="4" w16cid:durableId="2037726817">
    <w:abstractNumId w:val="4"/>
  </w:num>
  <w:num w:numId="5" w16cid:durableId="592134148">
    <w:abstractNumId w:val="7"/>
  </w:num>
  <w:num w:numId="6" w16cid:durableId="1397703145">
    <w:abstractNumId w:val="3"/>
  </w:num>
  <w:num w:numId="7" w16cid:durableId="1846675319">
    <w:abstractNumId w:val="2"/>
  </w:num>
  <w:num w:numId="8" w16cid:durableId="2101683061">
    <w:abstractNumId w:val="1"/>
  </w:num>
  <w:num w:numId="9" w16cid:durableId="11803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17D"/>
    <w:rsid w:val="00697B24"/>
    <w:rsid w:val="00AA1D8D"/>
    <w:rsid w:val="00B238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01480"/>
  <w14:defaultImageDpi w14:val="300"/>
  <w15:docId w15:val="{C852727A-4FF9-42BE-A8D8-5CC1A455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Rehan Ashraf</cp:lastModifiedBy>
  <cp:revision>3</cp:revision>
  <dcterms:created xsi:type="dcterms:W3CDTF">2013-12-23T23:15:00Z</dcterms:created>
  <dcterms:modified xsi:type="dcterms:W3CDTF">2026-01-07T19:27:00Z</dcterms:modified>
  <cp:category/>
</cp:coreProperties>
</file>