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Enhanced 5G Handover Prediction over Real-Network RSRP Traces Using Lightweight Temporal Neural Representations</w:t>
      </w:r>
    </w:p>
    <w:p>
      <w:pPr>
        <w:jc w:val="center"/>
      </w:pPr>
      <w:r>
        <w:rPr>
          <w:rFonts w:ascii="Times New Roman" w:hAnsi="Times New Roman"/>
          <w:sz w:val="20"/>
        </w:rPr>
        <w:t>Mohammadali Mousavireineh and Astra Mousavireineh</w:t>
      </w:r>
    </w:p>
    <w:p>
      <w:pPr>
        <w:jc w:val="center"/>
      </w:pPr>
      <w:r>
        <w:rPr>
          <w:rFonts w:ascii="Times New Roman" w:hAnsi="Times New Roman"/>
          <w:sz w:val="17"/>
        </w:rPr>
        <w:t>Independent Researchers</w:t>
        <w:br/>
        <w:t>Corresponding author: mousavireineh@gmail.com</w:t>
      </w:r>
    </w:p>
    <w:p>
      <w:pPr>
        <w:jc w:val="both"/>
      </w:pPr>
      <w:r>
        <w:rPr>
          <w:rFonts w:ascii="Times New Roman" w:hAnsi="Times New Roman"/>
          <w:b/>
          <w:sz w:val="16"/>
        </w:rPr>
        <w:t>Abstract—</w:t>
      </w:r>
      <w:r>
        <w:rPr>
          <w:rFonts w:ascii="Times New Roman" w:hAnsi="Times New Roman"/>
          <w:sz w:val="16"/>
        </w:rPr>
        <w:t>Reliable handover prediction is a key requirement for dense 5G and beyond networks. This paper compares LSTM, GRU, and TCN temporal feature representations for RSRP-based handover prediction using processed ANATEL-derived real-network feature bases. Four downstream classifiers are optimized using F1-oriented grid search. Under a stratified held-out test protocol, TCN+SVM achieves the best F1-score (0.4274) and balanced accuracy (0.6540), while LSTM+SVM remains close and achieves the highest ROC-AUC (0.7050). The results indicate that lightweight temporal alternatives can improve or match LSTM-derived representations under stricter evaluation, while minority handover-event detection remains challenging.</w:t>
      </w:r>
    </w:p>
    <w:p>
      <w:pPr>
        <w:jc w:val="both"/>
      </w:pPr>
      <w:r>
        <w:rPr>
          <w:rFonts w:ascii="Times New Roman" w:hAnsi="Times New Roman"/>
          <w:b/>
          <w:sz w:val="16"/>
        </w:rPr>
        <w:t>Index Terms—</w:t>
      </w:r>
      <w:r>
        <w:rPr>
          <w:rFonts w:ascii="Times New Roman" w:hAnsi="Times New Roman"/>
          <w:sz w:val="16"/>
        </w:rPr>
        <w:t>5G, 6G, handover prediction, LSTM, GRU, TCN, RSRP, imbalanced classification.</w:t>
      </w:r>
    </w:p>
    <w:p>
      <w:pPr>
        <w:sectPr>
          <w:pgSz w:w="12240" w:h="15840"/>
          <w:pgMar w:top="893" w:right="893" w:bottom="893" w:left="893" w:header="720" w:footer="720" w:gutter="0"/>
          <w:cols w:space="720"/>
          <w:docGrid w:linePitch="360"/>
        </w:sectPr>
      </w:pPr>
    </w:p>
    <w:p>
      <w:pPr>
        <w:pStyle w:val="Heading1"/>
        <w:spacing w:before="120" w:after="40"/>
      </w:pPr>
      <w:r>
        <w:rPr>
          <w:rFonts w:ascii="Times New Roman" w:hAnsi="Times New Roman"/>
          <w:b/>
          <w:sz w:val="19"/>
        </w:rPr>
        <w:t>I. INTRODUCTION</w:t>
      </w:r>
    </w:p>
    <w:p>
      <w:pPr>
        <w:spacing w:after="40" w:line="240" w:lineRule="auto"/>
        <w:jc w:val="both"/>
      </w:pPr>
      <w:r>
        <w:rPr>
          <w:rFonts w:ascii="Times New Roman" w:hAnsi="Times New Roman"/>
          <w:sz w:val="16"/>
        </w:rPr>
        <w:t>Handover transfers a user equipment connection from one serving cell to another while maintaining service continuity. In dense 5G and beyond deployments, smaller cells and more frequent coverage boundaries make mobility management more difficult. Incorrect handover timing can cause radio link failure, ping-pong effects, unnecessary signaling, interruption time, and degraded quality of experience.</w:t>
      </w:r>
    </w:p>
    <w:p>
      <w:pPr>
        <w:spacing w:after="40" w:line="240" w:lineRule="auto"/>
        <w:jc w:val="both"/>
      </w:pPr>
      <w:r>
        <w:rPr>
          <w:rFonts w:ascii="Times New Roman" w:hAnsi="Times New Roman"/>
          <w:sz w:val="16"/>
        </w:rPr>
        <w:t>This paper revisits an LSTM-based RSRP forecasting pipeline and strengthens it by evaluating GRU and TCN alternatives. The motivation is not only to improve nominal accuracy, but to test whether lighter or parallelizable temporal representations can improve minority handover-trigger detection under a held-out protocol.</w:t>
      </w:r>
    </w:p>
    <w:p>
      <w:pPr>
        <w:pStyle w:val="Heading1"/>
        <w:spacing w:before="120" w:after="40"/>
      </w:pPr>
      <w:r>
        <w:rPr>
          <w:rFonts w:ascii="Times New Roman" w:hAnsi="Times New Roman"/>
          <w:b/>
          <w:sz w:val="19"/>
        </w:rPr>
        <w:t>II. PREVIOUS WORK</w:t>
      </w:r>
    </w:p>
    <w:p>
      <w:pPr>
        <w:spacing w:after="40" w:line="240" w:lineRule="auto"/>
        <w:jc w:val="both"/>
      </w:pPr>
      <w:r>
        <w:rPr>
          <w:rFonts w:ascii="Times New Roman" w:hAnsi="Times New Roman"/>
          <w:sz w:val="16"/>
        </w:rPr>
        <w:t>Machine learning-based handover management has been surveyed for 5G and beyond systems. Prior studies identify data availability, generalization, deployment constraints, and adaptive trigger optimization as major issues. The closest baseline is the LSTM-based work of Lima et al., which forecasts future RSRP samples and then classifies handover triggers.</w:t>
      </w:r>
    </w:p>
    <w:p>
      <w:pPr>
        <w:spacing w:after="40" w:line="240" w:lineRule="auto"/>
        <w:jc w:val="both"/>
      </w:pPr>
      <w:r>
        <w:rPr>
          <w:rFonts w:ascii="Times New Roman" w:hAnsi="Times New Roman"/>
          <w:sz w:val="16"/>
        </w:rPr>
        <w:t>LSTM is effective for long-term dependencies but can be heavy. GRU simplifies LSTM by using fewer gates while retaining memory. TCN uses causal and dilated convolutions, allowing temporal receptive fields to grow without recurrent updates. These properties motivate testing GRU and TCN as alternative RSRP representations.</w:t>
      </w:r>
    </w:p>
    <w:p>
      <w:pPr>
        <w:pStyle w:val="Heading1"/>
        <w:spacing w:before="120" w:after="40"/>
      </w:pPr>
      <w:r>
        <w:rPr>
          <w:rFonts w:ascii="Times New Roman" w:hAnsi="Times New Roman"/>
          <w:b/>
          <w:sz w:val="19"/>
        </w:rPr>
        <w:t>III. MATERIALS AND METHODS</w:t>
      </w:r>
    </w:p>
    <w:p>
      <w:pPr>
        <w:spacing w:after="40" w:line="240" w:lineRule="auto"/>
        <w:jc w:val="both"/>
      </w:pPr>
      <w:r>
        <w:rPr>
          <w:rFonts w:ascii="Times New Roman" w:hAnsi="Times New Roman"/>
          <w:sz w:val="16"/>
        </w:rPr>
        <w:t>This work uses processed feature bases derived from ANATEL real-network measurements. Each sample is a 50-value temporal window of predicted RSRP values, and the label indicates handover trigger or no handover trigger. The dataset contains 840 samples: 675 non-handover and 165 handover-trigger samples, giving a positive ratio of 19.64%.</w:t>
      </w:r>
    </w:p>
    <w:p>
      <w:pPr>
        <w:spacing w:after="40" w:line="240" w:lineRule="auto"/>
        <w:jc w:val="both"/>
      </w:pPr>
      <w:r>
        <w:rPr>
          <w:rFonts w:ascii="Times New Roman" w:hAnsi="Times New Roman"/>
          <w:sz w:val="16"/>
        </w:rPr>
        <w:t>Problem formulation: x_t = [r_hat_(t-49), ..., r_hat_t] in R^50 and y_t in {0,1}, where y_t=1 denotes a handover trigger. The task is imbalanced binary classification.</w:t>
      </w:r>
    </w:p>
    <w:p>
      <w:pPr>
        <w:pStyle w:val="Heading1"/>
        <w:spacing w:before="120" w:after="40"/>
      </w:pPr>
      <w:r>
        <w:rPr>
          <w:rFonts w:ascii="Times New Roman" w:hAnsi="Times New Roman"/>
          <w:b/>
          <w:sz w:val="19"/>
        </w:rPr>
        <w:t>IV. TEMPORAL REPRESENTATIONS AND CLASSIFIERS</w:t>
      </w:r>
    </w:p>
    <w:p>
      <w:pPr>
        <w:spacing w:after="40" w:line="240" w:lineRule="auto"/>
        <w:jc w:val="both"/>
      </w:pPr>
      <w:r>
        <w:rPr>
          <w:rFonts w:ascii="Times New Roman" w:hAnsi="Times New Roman"/>
          <w:sz w:val="16"/>
        </w:rPr>
        <w:t>The LSTM baseline uses input, forget, and output gates to control the memory cell and hidden state. GRU replaces this structure with update and reset gates, reducing architectural complexity. TCN replaces recurrence with causal dilated convolution.</w:t>
      </w:r>
    </w:p>
    <w:p>
      <w:pPr>
        <w:spacing w:after="40"/>
        <w:jc w:val="center"/>
      </w:pPr>
      <w:r>
        <w:rPr>
          <w:rFonts w:ascii="Cambria Math" w:hAnsi="Cambria Math"/>
          <w:sz w:val="16"/>
        </w:rPr>
        <w:t>LSTM:  c_t = f_t ⊙ c_(t-1) + i_t ⊙ c~_t,     h_t = o_t ⊙ tanh(c_t)</w:t>
      </w:r>
    </w:p>
    <w:p>
      <w:pPr>
        <w:spacing w:after="40"/>
        <w:jc w:val="center"/>
      </w:pPr>
      <w:r>
        <w:rPr>
          <w:rFonts w:ascii="Cambria Math" w:hAnsi="Cambria Math"/>
          <w:sz w:val="16"/>
        </w:rPr>
        <w:t>GRU:   h_t = (1 - z_t) ⊙ h_(t-1) + z_t ⊙ h~_t</w:t>
      </w:r>
    </w:p>
    <w:p>
      <w:pPr>
        <w:spacing w:after="40"/>
        <w:jc w:val="center"/>
      </w:pPr>
      <w:r>
        <w:rPr>
          <w:rFonts w:ascii="Cambria Math" w:hAnsi="Cambria Math"/>
          <w:sz w:val="16"/>
        </w:rPr>
        <w:t>TCN:   y_t = Σ_(k=0)^(K-1) w_k x_(t-dk)</w:t>
      </w:r>
    </w:p>
    <w:p>
      <w:pPr>
        <w:spacing w:after="40" w:line="240" w:lineRule="auto"/>
        <w:jc w:val="both"/>
      </w:pPr>
      <w:r>
        <w:rPr>
          <w:rFonts w:ascii="Times New Roman" w:hAnsi="Times New Roman"/>
          <w:sz w:val="16"/>
        </w:rPr>
        <w:t>The RBF-SVM uses K(x_i,x_j)=exp(-γ||x_i-x_j||^2) to form nonlinear decision boundaries. Random Forest combines many decision trees by voting. KNN predicts from neighboring training samples. Logistic regression provides a linear probabilistic baseline P(y=1|x)=σ(w^T x+b).</w:t>
      </w:r>
    </w:p>
    <w:p>
      <w:pPr>
        <w:pStyle w:val="Heading1"/>
        <w:spacing w:before="120" w:after="40"/>
      </w:pPr>
      <w:r>
        <w:rPr>
          <w:rFonts w:ascii="Times New Roman" w:hAnsi="Times New Roman"/>
          <w:b/>
          <w:sz w:val="19"/>
        </w:rPr>
        <w:t>V. EVALUATION METRICS</w:t>
      </w:r>
    </w:p>
    <w:p>
      <w:pPr>
        <w:spacing w:after="40" w:line="240" w:lineRule="auto"/>
        <w:jc w:val="both"/>
      </w:pPr>
      <w:r>
        <w:rPr>
          <w:rFonts w:ascii="Times New Roman" w:hAnsi="Times New Roman"/>
          <w:sz w:val="16"/>
        </w:rPr>
        <w:t>Let TP, TN, FP, and FN denote true positives, true negatives, false positives, and false negatives. Accuracy is reported for comparison with prior work, but F1-score and recall are emphasized because handover triggers are the minority class.</w:t>
      </w:r>
    </w:p>
    <w:p>
      <w:pPr>
        <w:spacing w:after="40"/>
        <w:jc w:val="center"/>
      </w:pPr>
      <w:r>
        <w:rPr>
          <w:rFonts w:ascii="Cambria Math" w:hAnsi="Cambria Math"/>
          <w:sz w:val="16"/>
        </w:rPr>
        <w:t>Accuracy = (TP + TN) / (TP + TN + FP + FN)</w:t>
      </w:r>
    </w:p>
    <w:p>
      <w:pPr>
        <w:spacing w:after="40"/>
        <w:jc w:val="center"/>
      </w:pPr>
      <w:r>
        <w:rPr>
          <w:rFonts w:ascii="Cambria Math" w:hAnsi="Cambria Math"/>
          <w:sz w:val="16"/>
        </w:rPr>
        <w:t>Precision = TP / (TP + FP),     Recall = TP / (TP + FN)</w:t>
      </w:r>
    </w:p>
    <w:p>
      <w:pPr>
        <w:spacing w:after="40"/>
        <w:jc w:val="center"/>
      </w:pPr>
      <w:r>
        <w:rPr>
          <w:rFonts w:ascii="Cambria Math" w:hAnsi="Cambria Math"/>
          <w:sz w:val="16"/>
        </w:rPr>
        <w:t>F1 = 2 · Precision · Recall / (Precision + Recall)</w:t>
      </w:r>
    </w:p>
    <w:p>
      <w:pPr>
        <w:spacing w:after="40"/>
        <w:jc w:val="center"/>
      </w:pPr>
      <w:r>
        <w:rPr>
          <w:rFonts w:ascii="Cambria Math" w:hAnsi="Cambria Math"/>
          <w:sz w:val="16"/>
        </w:rPr>
        <w:t>Balanced accuracy = 1/2 [ TP/(TP+FN) + TN/(TN+FP) ]</w:t>
      </w:r>
    </w:p>
    <w:p>
      <w:pPr>
        <w:jc w:val="center"/>
      </w:pPr>
      <w:r>
        <w:drawing>
          <wp:inline xmlns:a="http://schemas.openxmlformats.org/drawingml/2006/main" xmlns:pic="http://schemas.openxmlformats.org/drawingml/2006/picture">
            <wp:extent cx="2880360" cy="1029726"/>
            <wp:docPr id="1" name="Picture 1"/>
            <wp:cNvGraphicFramePr>
              <a:graphicFrameLocks noChangeAspect="1"/>
            </wp:cNvGraphicFramePr>
            <a:graphic>
              <a:graphicData uri="http://schemas.openxmlformats.org/drawingml/2006/picture">
                <pic:pic>
                  <pic:nvPicPr>
                    <pic:cNvPr id="0" name="fig1_pipeline.png"/>
                    <pic:cNvPicPr/>
                  </pic:nvPicPr>
                  <pic:blipFill>
                    <a:blip r:embed="rId9"/>
                    <a:stretch>
                      <a:fillRect/>
                    </a:stretch>
                  </pic:blipFill>
                  <pic:spPr>
                    <a:xfrm>
                      <a:off x="0" y="0"/>
                      <a:ext cx="2880360" cy="1029726"/>
                    </a:xfrm>
                    <a:prstGeom prst="rect"/>
                  </pic:spPr>
                </pic:pic>
              </a:graphicData>
            </a:graphic>
          </wp:inline>
        </w:drawing>
      </w:r>
    </w:p>
    <w:p>
      <w:pPr>
        <w:jc w:val="center"/>
      </w:pPr>
      <w:r>
        <w:rPr>
          <w:rFonts w:ascii="Times New Roman" w:hAnsi="Times New Roman"/>
          <w:i/>
          <w:sz w:val="14"/>
        </w:rPr>
        <w:t>Fig. 1. Unified evaluation pipeline.</w:t>
      </w:r>
    </w:p>
    <w:p>
      <w:pPr>
        <w:jc w:val="center"/>
      </w:pPr>
      <w:r>
        <w:drawing>
          <wp:inline xmlns:a="http://schemas.openxmlformats.org/drawingml/2006/main" xmlns:pic="http://schemas.openxmlformats.org/drawingml/2006/picture">
            <wp:extent cx="2468880" cy="1650414"/>
            <wp:docPr id="2" name="Picture 2"/>
            <wp:cNvGraphicFramePr>
              <a:graphicFrameLocks noChangeAspect="1"/>
            </wp:cNvGraphicFramePr>
            <a:graphic>
              <a:graphicData uri="http://schemas.openxmlformats.org/drawingml/2006/picture">
                <pic:pic>
                  <pic:nvPicPr>
                    <pic:cNvPr id="0" name="fig2_class_distribution.png"/>
                    <pic:cNvPicPr/>
                  </pic:nvPicPr>
                  <pic:blipFill>
                    <a:blip r:embed="rId10"/>
                    <a:stretch>
                      <a:fillRect/>
                    </a:stretch>
                  </pic:blipFill>
                  <pic:spPr>
                    <a:xfrm>
                      <a:off x="0" y="0"/>
                      <a:ext cx="2468880" cy="1650414"/>
                    </a:xfrm>
                    <a:prstGeom prst="rect"/>
                  </pic:spPr>
                </pic:pic>
              </a:graphicData>
            </a:graphic>
          </wp:inline>
        </w:drawing>
      </w:r>
    </w:p>
    <w:p>
      <w:pPr>
        <w:jc w:val="center"/>
      </w:pPr>
      <w:r>
        <w:rPr>
          <w:rFonts w:ascii="Times New Roman" w:hAnsi="Times New Roman"/>
          <w:i/>
          <w:sz w:val="14"/>
        </w:rPr>
        <w:t>Fig. 2. Processed class distribution.</w:t>
      </w:r>
    </w:p>
    <w:p>
      <w:pPr>
        <w:pStyle w:val="Heading1"/>
        <w:spacing w:before="120" w:after="40"/>
      </w:pPr>
      <w:r>
        <w:rPr>
          <w:rFonts w:ascii="Times New Roman" w:hAnsi="Times New Roman"/>
          <w:b/>
          <w:sz w:val="19"/>
        </w:rPr>
        <w:t>VI. RESULTS</w:t>
      </w:r>
    </w:p>
    <w:p>
      <w:pPr>
        <w:spacing w:after="40" w:line="240" w:lineRule="auto"/>
        <w:jc w:val="both"/>
      </w:pPr>
      <w:r>
        <w:rPr>
          <w:rFonts w:ascii="Times New Roman" w:hAnsi="Times New Roman"/>
          <w:sz w:val="16"/>
        </w:rPr>
        <w:t>Table I shows the best classifier selected for each temporal feature base. TCN+SVM obtains the highest F1-score and balanced accuracy. LSTM+SVM remains very close in F1-score and achieves the highest ROC-AUC.</w:t>
      </w:r>
    </w:p>
    <w:p>
      <w:pPr>
        <w:jc w:val="center"/>
      </w:pPr>
      <w:r>
        <w:rPr>
          <w:rFonts w:ascii="Times New Roman" w:hAnsi="Times New Roman"/>
          <w:i/>
          <w:sz w:val="14"/>
        </w:rPr>
        <w:t>TABLE I. BEST HELD-OUT TEST RESULTS</w:t>
      </w:r>
    </w:p>
    <w:tbl>
      <w:tblPr>
        <w:tblStyle w:val="TableGrid"/>
        <w:tblW w:type="auto" w:w="0"/>
        <w:jc w:val="center"/>
        <w:tblLook w:firstColumn="1" w:firstRow="1" w:lastColumn="0" w:lastRow="0" w:noHBand="0" w:noVBand="1" w:val="04A0"/>
      </w:tblPr>
      <w:tblGrid>
        <w:gridCol w:w="1493"/>
        <w:gridCol w:w="1493"/>
        <w:gridCol w:w="1493"/>
        <w:gridCol w:w="1493"/>
        <w:gridCol w:w="1493"/>
        <w:gridCol w:w="1493"/>
        <w:gridCol w:w="1493"/>
      </w:tblGrid>
      <w:tr>
        <w:tc>
          <w:tcPr>
            <w:tcW w:type="dxa" w:w="1493"/>
            <w:vAlign w:val="center"/>
          </w:tcPr>
          <w:p>
            <w:r/>
            <w:r>
              <w:rPr>
                <w:rFonts w:ascii="Times New Roman" w:hAnsi="Times New Roman"/>
                <w:b/>
                <w:sz w:val="12"/>
              </w:rPr>
              <w:t>Base</w:t>
            </w:r>
          </w:p>
        </w:tc>
        <w:tc>
          <w:tcPr>
            <w:tcW w:type="dxa" w:w="1493"/>
            <w:vAlign w:val="center"/>
          </w:tcPr>
          <w:p>
            <w:r/>
            <w:r>
              <w:rPr>
                <w:rFonts w:ascii="Times New Roman" w:hAnsi="Times New Roman"/>
                <w:b/>
                <w:sz w:val="12"/>
              </w:rPr>
              <w:t>Clf.</w:t>
            </w:r>
          </w:p>
        </w:tc>
        <w:tc>
          <w:tcPr>
            <w:tcW w:type="dxa" w:w="1493"/>
            <w:vAlign w:val="center"/>
          </w:tcPr>
          <w:p>
            <w:r/>
            <w:r>
              <w:rPr>
                <w:rFonts w:ascii="Times New Roman" w:hAnsi="Times New Roman"/>
                <w:b/>
                <w:sz w:val="12"/>
              </w:rPr>
              <w:t>Acc.</w:t>
            </w:r>
          </w:p>
        </w:tc>
        <w:tc>
          <w:tcPr>
            <w:tcW w:type="dxa" w:w="1493"/>
            <w:vAlign w:val="center"/>
          </w:tcPr>
          <w:p>
            <w:r/>
            <w:r>
              <w:rPr>
                <w:rFonts w:ascii="Times New Roman" w:hAnsi="Times New Roman"/>
                <w:b/>
                <w:sz w:val="12"/>
              </w:rPr>
              <w:t>Bal.</w:t>
            </w:r>
          </w:p>
        </w:tc>
        <w:tc>
          <w:tcPr>
            <w:tcW w:type="dxa" w:w="1493"/>
            <w:vAlign w:val="center"/>
          </w:tcPr>
          <w:p>
            <w:r/>
            <w:r>
              <w:rPr>
                <w:rFonts w:ascii="Times New Roman" w:hAnsi="Times New Roman"/>
                <w:b/>
                <w:sz w:val="12"/>
              </w:rPr>
              <w:t>Rec.</w:t>
            </w:r>
          </w:p>
        </w:tc>
        <w:tc>
          <w:tcPr>
            <w:tcW w:type="dxa" w:w="1493"/>
            <w:vAlign w:val="center"/>
          </w:tcPr>
          <w:p>
            <w:r/>
            <w:r>
              <w:rPr>
                <w:rFonts w:ascii="Times New Roman" w:hAnsi="Times New Roman"/>
                <w:b/>
                <w:sz w:val="12"/>
              </w:rPr>
              <w:t>F1</w:t>
            </w:r>
          </w:p>
        </w:tc>
        <w:tc>
          <w:tcPr>
            <w:tcW w:type="dxa" w:w="1493"/>
            <w:vAlign w:val="center"/>
          </w:tcPr>
          <w:p>
            <w:r/>
            <w:r>
              <w:rPr>
                <w:rFonts w:ascii="Times New Roman" w:hAnsi="Times New Roman"/>
                <w:b/>
                <w:sz w:val="12"/>
              </w:rPr>
              <w:t>AUC</w:t>
            </w:r>
          </w:p>
        </w:tc>
      </w:tr>
      <w:tr>
        <w:tc>
          <w:tcPr>
            <w:tcW w:type="dxa" w:w="1493"/>
            <w:vAlign w:val="center"/>
          </w:tcPr>
          <w:p>
            <w:r/>
            <w:r>
              <w:rPr>
                <w:rFonts w:ascii="Times New Roman" w:hAnsi="Times New Roman"/>
                <w:b w:val="0"/>
                <w:sz w:val="12"/>
              </w:rPr>
              <w:t>LSTM</w:t>
            </w:r>
          </w:p>
        </w:tc>
        <w:tc>
          <w:tcPr>
            <w:tcW w:type="dxa" w:w="1493"/>
            <w:vAlign w:val="center"/>
          </w:tcPr>
          <w:p>
            <w:r/>
            <w:r>
              <w:rPr>
                <w:rFonts w:ascii="Times New Roman" w:hAnsi="Times New Roman"/>
                <w:b w:val="0"/>
                <w:sz w:val="12"/>
              </w:rPr>
              <w:t>SVM-RBF</w:t>
            </w:r>
          </w:p>
        </w:tc>
        <w:tc>
          <w:tcPr>
            <w:tcW w:type="dxa" w:w="1493"/>
            <w:vAlign w:val="center"/>
          </w:tcPr>
          <w:p>
            <w:r/>
            <w:r>
              <w:rPr>
                <w:rFonts w:ascii="Times New Roman" w:hAnsi="Times New Roman"/>
                <w:b w:val="0"/>
                <w:sz w:val="12"/>
              </w:rPr>
              <w:t>0.676</w:t>
            </w:r>
          </w:p>
        </w:tc>
        <w:tc>
          <w:tcPr>
            <w:tcW w:type="dxa" w:w="1493"/>
            <w:vAlign w:val="center"/>
          </w:tcPr>
          <w:p>
            <w:r/>
            <w:r>
              <w:rPr>
                <w:rFonts w:ascii="Times New Roman" w:hAnsi="Times New Roman"/>
                <w:b w:val="0"/>
                <w:sz w:val="12"/>
              </w:rPr>
              <w:t>0.651</w:t>
            </w:r>
          </w:p>
        </w:tc>
        <w:tc>
          <w:tcPr>
            <w:tcW w:type="dxa" w:w="1493"/>
            <w:vAlign w:val="center"/>
          </w:tcPr>
          <w:p>
            <w:r/>
            <w:r>
              <w:rPr>
                <w:rFonts w:ascii="Times New Roman" w:hAnsi="Times New Roman"/>
                <w:b w:val="0"/>
                <w:sz w:val="12"/>
              </w:rPr>
              <w:t>0.610</w:t>
            </w:r>
          </w:p>
        </w:tc>
        <w:tc>
          <w:tcPr>
            <w:tcW w:type="dxa" w:w="1493"/>
            <w:vAlign w:val="center"/>
          </w:tcPr>
          <w:p>
            <w:r/>
            <w:r>
              <w:rPr>
                <w:rFonts w:ascii="Times New Roman" w:hAnsi="Times New Roman"/>
                <w:b w:val="0"/>
                <w:sz w:val="12"/>
              </w:rPr>
              <w:t>0.424</w:t>
            </w:r>
          </w:p>
        </w:tc>
        <w:tc>
          <w:tcPr>
            <w:tcW w:type="dxa" w:w="1493"/>
            <w:vAlign w:val="center"/>
          </w:tcPr>
          <w:p>
            <w:r/>
            <w:r>
              <w:rPr>
                <w:rFonts w:ascii="Times New Roman" w:hAnsi="Times New Roman"/>
                <w:b w:val="0"/>
                <w:sz w:val="12"/>
              </w:rPr>
              <w:t>0.705</w:t>
            </w:r>
          </w:p>
        </w:tc>
      </w:tr>
      <w:tr>
        <w:tc>
          <w:tcPr>
            <w:tcW w:type="dxa" w:w="1493"/>
            <w:vAlign w:val="center"/>
          </w:tcPr>
          <w:p>
            <w:r/>
            <w:r>
              <w:rPr>
                <w:rFonts w:ascii="Times New Roman" w:hAnsi="Times New Roman"/>
                <w:b w:val="0"/>
                <w:sz w:val="12"/>
              </w:rPr>
              <w:t>GRU</w:t>
            </w:r>
          </w:p>
        </w:tc>
        <w:tc>
          <w:tcPr>
            <w:tcW w:type="dxa" w:w="1493"/>
            <w:vAlign w:val="center"/>
          </w:tcPr>
          <w:p>
            <w:r/>
            <w:r>
              <w:rPr>
                <w:rFonts w:ascii="Times New Roman" w:hAnsi="Times New Roman"/>
                <w:b w:val="0"/>
                <w:sz w:val="12"/>
              </w:rPr>
              <w:t>SVM-RBF</w:t>
            </w:r>
          </w:p>
        </w:tc>
        <w:tc>
          <w:tcPr>
            <w:tcW w:type="dxa" w:w="1493"/>
            <w:vAlign w:val="center"/>
          </w:tcPr>
          <w:p>
            <w:r/>
            <w:r>
              <w:rPr>
                <w:rFonts w:ascii="Times New Roman" w:hAnsi="Times New Roman"/>
                <w:b w:val="0"/>
                <w:sz w:val="12"/>
              </w:rPr>
              <w:t>0.671</w:t>
            </w:r>
          </w:p>
        </w:tc>
        <w:tc>
          <w:tcPr>
            <w:tcW w:type="dxa" w:w="1493"/>
            <w:vAlign w:val="center"/>
          </w:tcPr>
          <w:p>
            <w:r/>
            <w:r>
              <w:rPr>
                <w:rFonts w:ascii="Times New Roman" w:hAnsi="Times New Roman"/>
                <w:b w:val="0"/>
                <w:sz w:val="12"/>
              </w:rPr>
              <w:t>0.630</w:t>
            </w:r>
          </w:p>
        </w:tc>
        <w:tc>
          <w:tcPr>
            <w:tcW w:type="dxa" w:w="1493"/>
            <w:vAlign w:val="center"/>
          </w:tcPr>
          <w:p>
            <w:r/>
            <w:r>
              <w:rPr>
                <w:rFonts w:ascii="Times New Roman" w:hAnsi="Times New Roman"/>
                <w:b w:val="0"/>
                <w:sz w:val="12"/>
              </w:rPr>
              <w:t>0.561</w:t>
            </w:r>
          </w:p>
        </w:tc>
        <w:tc>
          <w:tcPr>
            <w:tcW w:type="dxa" w:w="1493"/>
            <w:vAlign w:val="center"/>
          </w:tcPr>
          <w:p>
            <w:r/>
            <w:r>
              <w:rPr>
                <w:rFonts w:ascii="Times New Roman" w:hAnsi="Times New Roman"/>
                <w:b w:val="0"/>
                <w:sz w:val="12"/>
              </w:rPr>
              <w:t>0.400</w:t>
            </w:r>
          </w:p>
        </w:tc>
        <w:tc>
          <w:tcPr>
            <w:tcW w:type="dxa" w:w="1493"/>
            <w:vAlign w:val="center"/>
          </w:tcPr>
          <w:p>
            <w:r/>
            <w:r>
              <w:rPr>
                <w:rFonts w:ascii="Times New Roman" w:hAnsi="Times New Roman"/>
                <w:b w:val="0"/>
                <w:sz w:val="12"/>
              </w:rPr>
              <w:t>0.700</w:t>
            </w:r>
          </w:p>
        </w:tc>
      </w:tr>
      <w:tr>
        <w:tc>
          <w:tcPr>
            <w:tcW w:type="dxa" w:w="1493"/>
            <w:vAlign w:val="center"/>
          </w:tcPr>
          <w:p>
            <w:r/>
            <w:r>
              <w:rPr>
                <w:rFonts w:ascii="Times New Roman" w:hAnsi="Times New Roman"/>
                <w:b w:val="0"/>
                <w:sz w:val="12"/>
              </w:rPr>
              <w:t>TCN</w:t>
            </w:r>
          </w:p>
        </w:tc>
        <w:tc>
          <w:tcPr>
            <w:tcW w:type="dxa" w:w="1493"/>
            <w:vAlign w:val="center"/>
          </w:tcPr>
          <w:p>
            <w:r/>
            <w:r>
              <w:rPr>
                <w:rFonts w:ascii="Times New Roman" w:hAnsi="Times New Roman"/>
                <w:b w:val="0"/>
                <w:sz w:val="12"/>
              </w:rPr>
              <w:t>SVM-RBF</w:t>
            </w:r>
          </w:p>
        </w:tc>
        <w:tc>
          <w:tcPr>
            <w:tcW w:type="dxa" w:w="1493"/>
            <w:vAlign w:val="center"/>
          </w:tcPr>
          <w:p>
            <w:r/>
            <w:r>
              <w:rPr>
                <w:rFonts w:ascii="Times New Roman" w:hAnsi="Times New Roman"/>
                <w:b w:val="0"/>
                <w:sz w:val="12"/>
              </w:rPr>
              <w:t>0.681</w:t>
            </w:r>
          </w:p>
        </w:tc>
        <w:tc>
          <w:tcPr>
            <w:tcW w:type="dxa" w:w="1493"/>
            <w:vAlign w:val="center"/>
          </w:tcPr>
          <w:p>
            <w:r/>
            <w:r>
              <w:rPr>
                <w:rFonts w:ascii="Times New Roman" w:hAnsi="Times New Roman"/>
                <w:b w:val="0"/>
                <w:sz w:val="12"/>
              </w:rPr>
              <w:t>0.654</w:t>
            </w:r>
          </w:p>
        </w:tc>
        <w:tc>
          <w:tcPr>
            <w:tcW w:type="dxa" w:w="1493"/>
            <w:vAlign w:val="center"/>
          </w:tcPr>
          <w:p>
            <w:r/>
            <w:r>
              <w:rPr>
                <w:rFonts w:ascii="Times New Roman" w:hAnsi="Times New Roman"/>
                <w:b w:val="0"/>
                <w:sz w:val="12"/>
              </w:rPr>
              <w:t>0.610</w:t>
            </w:r>
          </w:p>
        </w:tc>
        <w:tc>
          <w:tcPr>
            <w:tcW w:type="dxa" w:w="1493"/>
            <w:vAlign w:val="center"/>
          </w:tcPr>
          <w:p>
            <w:r/>
            <w:r>
              <w:rPr>
                <w:rFonts w:ascii="Times New Roman" w:hAnsi="Times New Roman"/>
                <w:b w:val="0"/>
                <w:sz w:val="12"/>
              </w:rPr>
              <w:t>0.427</w:t>
            </w:r>
          </w:p>
        </w:tc>
        <w:tc>
          <w:tcPr>
            <w:tcW w:type="dxa" w:w="1493"/>
            <w:vAlign w:val="center"/>
          </w:tcPr>
          <w:p>
            <w:r/>
            <w:r>
              <w:rPr>
                <w:rFonts w:ascii="Times New Roman" w:hAnsi="Times New Roman"/>
                <w:b w:val="0"/>
                <w:sz w:val="12"/>
              </w:rPr>
              <w:t>0.694</w:t>
            </w:r>
          </w:p>
        </w:tc>
      </w:tr>
    </w:tbl>
    <w:p>
      <w:pPr>
        <w:jc w:val="center"/>
      </w:pPr>
      <w:r>
        <w:drawing>
          <wp:inline xmlns:a="http://schemas.openxmlformats.org/drawingml/2006/main" xmlns:pic="http://schemas.openxmlformats.org/drawingml/2006/picture">
            <wp:extent cx="2880360" cy="1255898"/>
            <wp:docPr id="3" name="Picture 3"/>
            <wp:cNvGraphicFramePr>
              <a:graphicFrameLocks noChangeAspect="1"/>
            </wp:cNvGraphicFramePr>
            <a:graphic>
              <a:graphicData uri="http://schemas.openxmlformats.org/drawingml/2006/picture">
                <pic:pic>
                  <pic:nvPicPr>
                    <pic:cNvPr id="0" name="fig3_best_metrics.png"/>
                    <pic:cNvPicPr/>
                  </pic:nvPicPr>
                  <pic:blipFill>
                    <a:blip r:embed="rId11"/>
                    <a:stretch>
                      <a:fillRect/>
                    </a:stretch>
                  </pic:blipFill>
                  <pic:spPr>
                    <a:xfrm>
                      <a:off x="0" y="0"/>
                      <a:ext cx="2880360" cy="1255898"/>
                    </a:xfrm>
                    <a:prstGeom prst="rect"/>
                  </pic:spPr>
                </pic:pic>
              </a:graphicData>
            </a:graphic>
          </wp:inline>
        </w:drawing>
      </w:r>
    </w:p>
    <w:p>
      <w:pPr>
        <w:jc w:val="center"/>
      </w:pPr>
      <w:r>
        <w:rPr>
          <w:rFonts w:ascii="Times New Roman" w:hAnsi="Times New Roman"/>
          <w:i/>
          <w:sz w:val="14"/>
        </w:rPr>
        <w:t>Fig. 3. Best metrics by temporal representation.</w:t>
      </w:r>
    </w:p>
    <w:p>
      <w:pPr>
        <w:jc w:val="center"/>
      </w:pPr>
      <w:r>
        <w:drawing>
          <wp:inline xmlns:a="http://schemas.openxmlformats.org/drawingml/2006/main" xmlns:pic="http://schemas.openxmlformats.org/drawingml/2006/picture">
            <wp:extent cx="2880360" cy="1231915"/>
            <wp:docPr id="4" name="Picture 4"/>
            <wp:cNvGraphicFramePr>
              <a:graphicFrameLocks noChangeAspect="1"/>
            </wp:cNvGraphicFramePr>
            <a:graphic>
              <a:graphicData uri="http://schemas.openxmlformats.org/drawingml/2006/picture">
                <pic:pic>
                  <pic:nvPicPr>
                    <pic:cNvPr id="0" name="fig4_classifier_f1.png"/>
                    <pic:cNvPicPr/>
                  </pic:nvPicPr>
                  <pic:blipFill>
                    <a:blip r:embed="rId12"/>
                    <a:stretch>
                      <a:fillRect/>
                    </a:stretch>
                  </pic:blipFill>
                  <pic:spPr>
                    <a:xfrm>
                      <a:off x="0" y="0"/>
                      <a:ext cx="2880360" cy="1231915"/>
                    </a:xfrm>
                    <a:prstGeom prst="rect"/>
                  </pic:spPr>
                </pic:pic>
              </a:graphicData>
            </a:graphic>
          </wp:inline>
        </w:drawing>
      </w:r>
    </w:p>
    <w:p>
      <w:pPr>
        <w:jc w:val="center"/>
      </w:pPr>
      <w:r>
        <w:rPr>
          <w:rFonts w:ascii="Times New Roman" w:hAnsi="Times New Roman"/>
          <w:i/>
          <w:sz w:val="14"/>
        </w:rPr>
        <w:t>Fig. 4. F1-score by classifier family.</w:t>
      </w:r>
    </w:p>
    <w:p>
      <w:pPr>
        <w:jc w:val="center"/>
      </w:pPr>
      <w:r>
        <w:drawing>
          <wp:inline xmlns:a="http://schemas.openxmlformats.org/drawingml/2006/main" xmlns:pic="http://schemas.openxmlformats.org/drawingml/2006/picture">
            <wp:extent cx="2926080" cy="1090780"/>
            <wp:docPr id="5" name="Picture 5"/>
            <wp:cNvGraphicFramePr>
              <a:graphicFrameLocks noChangeAspect="1"/>
            </wp:cNvGraphicFramePr>
            <a:graphic>
              <a:graphicData uri="http://schemas.openxmlformats.org/drawingml/2006/picture">
                <pic:pic>
                  <pic:nvPicPr>
                    <pic:cNvPr id="0" name="fig5_confusion_matrices.png"/>
                    <pic:cNvPicPr/>
                  </pic:nvPicPr>
                  <pic:blipFill>
                    <a:blip r:embed="rId13"/>
                    <a:stretch>
                      <a:fillRect/>
                    </a:stretch>
                  </pic:blipFill>
                  <pic:spPr>
                    <a:xfrm>
                      <a:off x="0" y="0"/>
                      <a:ext cx="2926080" cy="1090780"/>
                    </a:xfrm>
                    <a:prstGeom prst="rect"/>
                  </pic:spPr>
                </pic:pic>
              </a:graphicData>
            </a:graphic>
          </wp:inline>
        </w:drawing>
      </w:r>
    </w:p>
    <w:p>
      <w:pPr>
        <w:jc w:val="center"/>
      </w:pPr>
      <w:r>
        <w:rPr>
          <w:rFonts w:ascii="Times New Roman" w:hAnsi="Times New Roman"/>
          <w:i/>
          <w:sz w:val="14"/>
        </w:rPr>
        <w:t>Fig. 5. Confusion matrices for selected models.</w:t>
      </w:r>
    </w:p>
    <w:p>
      <w:pPr>
        <w:pStyle w:val="Heading1"/>
        <w:spacing w:before="120" w:after="40"/>
      </w:pPr>
      <w:r>
        <w:rPr>
          <w:rFonts w:ascii="Times New Roman" w:hAnsi="Times New Roman"/>
          <w:b/>
          <w:sz w:val="19"/>
        </w:rPr>
        <w:t>VII. DISCUSSION</w:t>
      </w:r>
    </w:p>
    <w:p>
      <w:pPr>
        <w:spacing w:after="40" w:line="240" w:lineRule="auto"/>
        <w:jc w:val="both"/>
      </w:pPr>
      <w:r>
        <w:rPr>
          <w:rFonts w:ascii="Times New Roman" w:hAnsi="Times New Roman"/>
          <w:sz w:val="16"/>
        </w:rPr>
        <w:t>TCN provides a small F1-score advantage over LSTM, but the margin is modest. The result should therefore be interpreted as evidence that TCN is competitive and slightly better under this held-out protocol, not as a decisive replacement for LSTM.</w:t>
      </w:r>
    </w:p>
    <w:p>
      <w:pPr>
        <w:spacing w:after="40" w:line="240" w:lineRule="auto"/>
        <w:jc w:val="both"/>
      </w:pPr>
      <w:r>
        <w:rPr>
          <w:rFonts w:ascii="Times New Roman" w:hAnsi="Times New Roman"/>
          <w:sz w:val="16"/>
        </w:rPr>
        <w:t>GRU is included because it is lighter than LSTM, but its lower F1-score suggests that reduced recurrent complexity alone does not guarantee better handover detection. SVM improves recall but increases false positives, showing the operational trade-off between missing handovers and triggering unnecessary actions.</w:t>
      </w:r>
    </w:p>
    <w:p>
      <w:pPr>
        <w:pStyle w:val="Heading1"/>
        <w:spacing w:before="120" w:after="40"/>
      </w:pPr>
      <w:r>
        <w:rPr>
          <w:rFonts w:ascii="Times New Roman" w:hAnsi="Times New Roman"/>
          <w:b/>
          <w:sz w:val="19"/>
        </w:rPr>
        <w:t>VIII. LIMITATIONS</w:t>
      </w:r>
    </w:p>
    <w:p>
      <w:pPr>
        <w:spacing w:after="40" w:line="240" w:lineRule="auto"/>
        <w:jc w:val="both"/>
      </w:pPr>
      <w:r>
        <w:rPr>
          <w:rFonts w:ascii="Times New Roman" w:hAnsi="Times New Roman"/>
          <w:sz w:val="16"/>
        </w:rPr>
        <w:t>This study uses processed feature bases rather than a full raw-data reimplementation. The dataset has only 840 samples and 165 positive events. Future work should include chronological splits, larger multi-cell datasets, cost-sensitive thresholds, and end-to-end neural classifiers.</w:t>
      </w:r>
    </w:p>
    <w:p>
      <w:pPr>
        <w:pStyle w:val="Heading1"/>
        <w:spacing w:before="120" w:after="40"/>
      </w:pPr>
      <w:r>
        <w:rPr>
          <w:rFonts w:ascii="Times New Roman" w:hAnsi="Times New Roman"/>
          <w:b/>
          <w:sz w:val="19"/>
        </w:rPr>
        <w:t>IX. CONCLUSION</w:t>
      </w:r>
    </w:p>
    <w:p>
      <w:pPr>
        <w:spacing w:after="40" w:line="240" w:lineRule="auto"/>
        <w:jc w:val="both"/>
      </w:pPr>
      <w:r>
        <w:rPr>
          <w:rFonts w:ascii="Times New Roman" w:hAnsi="Times New Roman"/>
          <w:sz w:val="16"/>
        </w:rPr>
        <w:t>This paper enhanced and re-evaluated a reproducible handover prediction pipeline using LSTM, GRU, and TCN-derived RSRP feature bases. TCN+SVM achieved the best F1-score of 0.4274 and balanced accuracy of 0.6540, while LSTM+SVM remained close and achieved the highest ROC-AUC. The findings support lightweight temporal representations as competitive alternatives while showing that minority-event detection in real-network handover data remains challenging.</w:t>
      </w:r>
    </w:p>
    <w:p>
      <w:pPr>
        <w:pStyle w:val="Heading1"/>
        <w:spacing w:before="120" w:after="40"/>
      </w:pPr>
      <w:r>
        <w:rPr>
          <w:rFonts w:ascii="Times New Roman" w:hAnsi="Times New Roman"/>
          <w:b/>
          <w:sz w:val="19"/>
        </w:rPr>
        <w:t>REFERENCES</w:t>
      </w:r>
    </w:p>
    <w:p>
      <w:pPr>
        <w:spacing w:after="40" w:line="240" w:lineRule="auto"/>
        <w:jc w:val="both"/>
      </w:pPr>
      <w:r>
        <w:rPr>
          <w:rFonts w:ascii="Times New Roman" w:hAnsi="Times New Roman"/>
          <w:sz w:val="16"/>
        </w:rPr>
        <w:t>[1] Lima et al., “Deep Learning-Based Handover Prediction for 5G and Beyond Networks,” IEEE ICC, 2023.</w:t>
      </w:r>
    </w:p>
    <w:p>
      <w:pPr>
        <w:spacing w:after="40" w:line="240" w:lineRule="auto"/>
        <w:jc w:val="both"/>
      </w:pPr>
      <w:r>
        <w:rPr>
          <w:rFonts w:ascii="Times New Roman" w:hAnsi="Times New Roman"/>
          <w:sz w:val="16"/>
        </w:rPr>
        <w:t>[2] Mollel et al., “A Survey of Machine Learning Applications to Handover Management in 5G and Beyond,” IEEE Access, 2021.</w:t>
      </w:r>
    </w:p>
    <w:p>
      <w:pPr>
        <w:spacing w:after="40" w:line="240" w:lineRule="auto"/>
        <w:jc w:val="both"/>
      </w:pPr>
      <w:r>
        <w:rPr>
          <w:rFonts w:ascii="Times New Roman" w:hAnsi="Times New Roman"/>
          <w:sz w:val="16"/>
        </w:rPr>
        <w:t>[3] Cho et al., “Learning Phrase Representations using RNN Encoder-Decoder,” EMNLP, 2014.</w:t>
      </w:r>
    </w:p>
    <w:p>
      <w:pPr>
        <w:spacing w:after="40" w:line="240" w:lineRule="auto"/>
        <w:jc w:val="both"/>
      </w:pPr>
      <w:r>
        <w:rPr>
          <w:rFonts w:ascii="Times New Roman" w:hAnsi="Times New Roman"/>
          <w:sz w:val="16"/>
        </w:rPr>
        <w:t>[4] Bai, Kolter, and Koltun, “An Empirical Evaluation of Generic Convolutional and Recurrent Networks for Sequence Modeling,” arXiv:1803.01271, 2018.</w:t>
      </w:r>
    </w:p>
    <w:p>
      <w:pPr>
        <w:spacing w:after="40" w:line="240" w:lineRule="auto"/>
        <w:jc w:val="both"/>
      </w:pPr>
      <w:r>
        <w:rPr>
          <w:rFonts w:ascii="Times New Roman" w:hAnsi="Times New Roman"/>
          <w:sz w:val="16"/>
        </w:rPr>
        <w:t>[5] Chawla et al., “SMOTE: Synthetic Minority Over-sampling Technique,” JAIR, 2002.</w:t>
      </w:r>
    </w:p>
    <w:p>
      <w:pPr>
        <w:spacing w:after="40" w:line="240" w:lineRule="auto"/>
        <w:jc w:val="both"/>
      </w:pPr>
      <w:r>
        <w:rPr>
          <w:rFonts w:ascii="Times New Roman" w:hAnsi="Times New Roman"/>
          <w:sz w:val="16"/>
        </w:rPr>
        <w:t>[6] Breiman, “Random Forests,” Machine Learning, 2001.</w:t>
      </w:r>
    </w:p>
    <w:p>
      <w:pPr>
        <w:spacing w:after="40" w:line="240" w:lineRule="auto"/>
        <w:jc w:val="both"/>
      </w:pPr>
      <w:r>
        <w:rPr>
          <w:rFonts w:ascii="Times New Roman" w:hAnsi="Times New Roman"/>
          <w:sz w:val="16"/>
        </w:rPr>
        <w:t>[7] Cortes and Vapnik, “Support-vector networks,” Machine Learning, 1995.</w:t>
      </w:r>
    </w:p>
    <w:sectPr w:rsidR="00FC693F" w:rsidRPr="0006063C" w:rsidSect="00034616">
      <w:type w:val="continuous"/>
      <w:pgSz w:w="12240" w:h="15840"/>
      <w:pgMar w:top="893" w:right="893" w:bottom="893" w:left="893"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