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Scanner Comparison Report</w:t>
      </w:r>
    </w:p>
    <w:p>
      <w:r>
        <w:t>My tool vs Semgrep (official) + FP analysis and reductions</w:t>
      </w:r>
    </w:p>
    <w:p>
      <w:r>
        <w:t>Generated: 2026-01-06T03:05:24</w:t>
      </w:r>
    </w:p>
    <w:p>
      <w:pPr>
        <w:pStyle w:val="Heading1"/>
      </w:pPr>
      <w:r>
        <w:t>Executive Summary (Metrics)</w:t>
      </w:r>
    </w:p>
    <w:p>
      <w:r>
        <w:t>This table summarizes precision/recall/F1 for my tool vs Semgrep (official). Semgrep config: p/owasp-top-ten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Vuln Type</w:t>
            </w:r>
          </w:p>
        </w:tc>
        <w:tc>
          <w:tcPr>
            <w:tcW w:type="dxa" w:w="1080"/>
          </w:tcPr>
          <w:p>
            <w:r>
              <w:t>Tool</w:t>
            </w:r>
          </w:p>
        </w:tc>
        <w:tc>
          <w:tcPr>
            <w:tcW w:type="dxa" w:w="1080"/>
          </w:tcPr>
          <w:p>
            <w:r>
              <w:t>TP</w:t>
            </w:r>
          </w:p>
        </w:tc>
        <w:tc>
          <w:tcPr>
            <w:tcW w:type="dxa" w:w="1080"/>
          </w:tcPr>
          <w:p>
            <w:r>
              <w:t>FP</w:t>
            </w:r>
          </w:p>
        </w:tc>
        <w:tc>
          <w:tcPr>
            <w:tcW w:type="dxa" w:w="1080"/>
          </w:tcPr>
          <w:p>
            <w:r>
              <w:t>FN</w:t>
            </w:r>
          </w:p>
        </w:tc>
        <w:tc>
          <w:tcPr>
            <w:tcW w:type="dxa" w:w="1080"/>
          </w:tcPr>
          <w:p>
            <w:r>
              <w:t>Precision</w:t>
            </w:r>
          </w:p>
        </w:tc>
        <w:tc>
          <w:tcPr>
            <w:tcW w:type="dxa" w:w="1080"/>
          </w:tcPr>
          <w:p>
            <w:r>
              <w:t>Recall</w:t>
            </w:r>
          </w:p>
        </w:tc>
        <w:tc>
          <w:tcPr>
            <w:tcW w:type="dxa" w:w="1080"/>
          </w:tcPr>
          <w:p>
            <w:r>
              <w:t>F1</w:t>
            </w:r>
          </w:p>
        </w:tc>
      </w:tr>
      <w:tr>
        <w:tc>
          <w:tcPr>
            <w:tcW w:type="dxa" w:w="1080"/>
          </w:tcPr>
          <w:p>
            <w:r>
              <w:t>SQLi (dataset)</w:t>
            </w:r>
          </w:p>
        </w:tc>
        <w:tc>
          <w:tcPr>
            <w:tcW w:type="dxa" w:w="1080"/>
          </w:tcPr>
          <w:p>
            <w:r>
              <w:t>My tool</w:t>
            </w:r>
          </w:p>
        </w:tc>
        <w:tc>
          <w:tcPr>
            <w:tcW w:type="dxa" w:w="1080"/>
          </w:tcPr>
          <w:p>
            <w:r>
              <w:t>425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0.85</w:t>
            </w:r>
          </w:p>
        </w:tc>
        <w:tc>
          <w:tcPr>
            <w:tcW w:type="dxa" w:w="1080"/>
          </w:tcPr>
          <w:p>
            <w:r>
              <w:t>0.9189189189189189</w:t>
            </w:r>
          </w:p>
        </w:tc>
      </w:tr>
      <w:tr>
        <w:tc>
          <w:tcPr>
            <w:tcW w:type="dxa" w:w="1080"/>
          </w:tcPr>
          <w:p>
            <w:r>
              <w:t>SQLi (dataset)</w:t>
            </w:r>
          </w:p>
        </w:tc>
        <w:tc>
          <w:tcPr>
            <w:tcW w:type="dxa" w:w="1080"/>
          </w:tcPr>
          <w:p>
            <w:r>
              <w:t>Semgrep</w:t>
            </w:r>
          </w:p>
        </w:tc>
        <w:tc>
          <w:tcPr>
            <w:tcW w:type="dxa" w:w="1080"/>
          </w:tcPr>
          <w:p>
            <w:r>
              <w:t>420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0.84</w:t>
            </w:r>
          </w:p>
        </w:tc>
        <w:tc>
          <w:tcPr>
            <w:tcW w:type="dxa" w:w="1080"/>
          </w:tcPr>
          <w:p>
            <w:r>
              <w:t>0.9130434782608696</w:t>
            </w:r>
          </w:p>
        </w:tc>
      </w:tr>
      <w:tr>
        <w:tc>
          <w:tcPr>
            <w:tcW w:type="dxa" w:w="1080"/>
          </w:tcPr>
          <w:p>
            <w:r>
              <w:t>XSS (benchmark)</w:t>
            </w:r>
          </w:p>
        </w:tc>
        <w:tc>
          <w:tcPr>
            <w:tcW w:type="dxa" w:w="1080"/>
          </w:tcPr>
          <w:p>
            <w:r>
              <w:t>My tool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</w:tr>
      <w:tr>
        <w:tc>
          <w:tcPr>
            <w:tcW w:type="dxa" w:w="1080"/>
          </w:tcPr>
          <w:p>
            <w:r>
              <w:t>XSS (benchmark)</w:t>
            </w:r>
          </w:p>
        </w:tc>
        <w:tc>
          <w:tcPr>
            <w:tcW w:type="dxa" w:w="1080"/>
          </w:tcPr>
          <w:p>
            <w:r>
              <w:t>Semgrep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</w:tr>
      <w:tr>
        <w:tc>
          <w:tcPr>
            <w:tcW w:type="dxa" w:w="1080"/>
          </w:tcPr>
          <w:p>
            <w:r>
              <w:t>CSRF (benchmark)</w:t>
            </w:r>
          </w:p>
        </w:tc>
        <w:tc>
          <w:tcPr>
            <w:tcW w:type="dxa" w:w="1080"/>
          </w:tcPr>
          <w:p>
            <w:r>
              <w:t>My tool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0.5</w:t>
            </w:r>
          </w:p>
        </w:tc>
        <w:tc>
          <w:tcPr>
            <w:tcW w:type="dxa" w:w="1080"/>
          </w:tcPr>
          <w:p>
            <w:r>
              <w:t>0.6666666666666666</w:t>
            </w:r>
          </w:p>
        </w:tc>
      </w:tr>
      <w:tr>
        <w:tc>
          <w:tcPr>
            <w:tcW w:type="dxa" w:w="1080"/>
          </w:tcPr>
          <w:p>
            <w:r>
              <w:t>CSRF (benchmark)</w:t>
            </w:r>
          </w:p>
        </w:tc>
        <w:tc>
          <w:tcPr>
            <w:tcW w:type="dxa" w:w="1080"/>
          </w:tcPr>
          <w:p>
            <w:r>
              <w:t>Semgrep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Command Injection (benchmark)</w:t>
            </w:r>
          </w:p>
        </w:tc>
        <w:tc>
          <w:tcPr>
            <w:tcW w:type="dxa" w:w="1080"/>
          </w:tcPr>
          <w:p>
            <w:r>
              <w:t>My tool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</w:tr>
      <w:tr>
        <w:tc>
          <w:tcPr>
            <w:tcW w:type="dxa" w:w="1080"/>
          </w:tcPr>
          <w:p>
            <w:r>
              <w:t>Command Injection (benchmark)</w:t>
            </w:r>
          </w:p>
        </w:tc>
        <w:tc>
          <w:tcPr>
            <w:tcW w:type="dxa" w:w="1080"/>
          </w:tcPr>
          <w:p>
            <w:r>
              <w:t>Semgrep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</w:tr>
    </w:tbl>
    <w:p>
      <w:pPr>
        <w:pStyle w:val="Heading1"/>
      </w:pPr>
      <w:r>
        <w:t>Methodology (How metrics are computed)</w:t>
      </w:r>
    </w:p>
    <w:p>
      <w:r>
        <w:t>We compute TP/FP/TN/FN per vulnerability type based on labeled examples. Predicted positive = tool reports at least 1 finding for the case. Actual positive = label expected=vulnerable.</w:t>
      </w:r>
    </w:p>
    <w:p>
      <w:r>
        <w:t>For SQL injection (SQLi): labels come from backend/datasets/sql_injection.json. For XSS/CSRF/Command Injection: labels come from comments in benchmark files under benchmarks/.</w:t>
      </w:r>
    </w:p>
    <w:p>
      <w:r>
        <w:t>Important note for fairness: Semgrep official SQLi rules are taint-based and expect real sources (e.g., Flask request args). Therefore we evaluate Semgrep SQLi on sonar_samples/sql_injection_from_dataset_tainted.py (same queries, but variables are sourced from request.args).</w:t>
      </w:r>
    </w:p>
    <w:p>
      <w:pPr>
        <w:pStyle w:val="Heading1"/>
      </w:pPr>
      <w:r>
        <w:t>How to use this report in slides</w:t>
      </w:r>
    </w:p>
    <w:p>
      <w:r>
        <w:t>For each vulnerability type: first show the comparison metrics (my tool vs Semgrep), then show before/after metrics (FP reduction), and finally present 2–6 concrete FP examples.</w:t>
      </w:r>
    </w:p>
    <w:p>
      <w:pPr>
        <w:pStyle w:val="Heading1"/>
      </w:pPr>
      <w:r>
        <w:t>SQL Injection (SQLi) — FP examples</w:t>
      </w:r>
    </w:p>
    <w:p>
      <w:pPr>
        <w:pStyle w:val="Heading2"/>
      </w:pPr>
      <w:r>
        <w:t>Comparison: My tool vs Semgrep</w:t>
      </w:r>
    </w:p>
    <w:p>
      <w:r>
        <w:t>My tool (dataset)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TP</w:t>
            </w:r>
          </w:p>
        </w:tc>
        <w:tc>
          <w:tcPr>
            <w:tcW w:type="dxa" w:w="1080"/>
          </w:tcPr>
          <w:p>
            <w:r>
              <w:t>FP</w:t>
            </w:r>
          </w:p>
        </w:tc>
        <w:tc>
          <w:tcPr>
            <w:tcW w:type="dxa" w:w="1080"/>
          </w:tcPr>
          <w:p>
            <w:r>
              <w:t>TN</w:t>
            </w:r>
          </w:p>
        </w:tc>
        <w:tc>
          <w:tcPr>
            <w:tcW w:type="dxa" w:w="1080"/>
          </w:tcPr>
          <w:p>
            <w:r>
              <w:t>FN</w:t>
            </w:r>
          </w:p>
        </w:tc>
        <w:tc>
          <w:tcPr>
            <w:tcW w:type="dxa" w:w="1080"/>
          </w:tcPr>
          <w:p>
            <w:r>
              <w:t>Precision</w:t>
            </w:r>
          </w:p>
        </w:tc>
        <w:tc>
          <w:tcPr>
            <w:tcW w:type="dxa" w:w="1080"/>
          </w:tcPr>
          <w:p>
            <w:r>
              <w:t>Recall</w:t>
            </w:r>
          </w:p>
        </w:tc>
        <w:tc>
          <w:tcPr>
            <w:tcW w:type="dxa" w:w="1080"/>
          </w:tcPr>
          <w:p>
            <w:r>
              <w:t>F1</w:t>
            </w:r>
          </w:p>
        </w:tc>
        <w:tc>
          <w:tcPr>
            <w:tcW w:type="dxa" w:w="1080"/>
          </w:tcPr>
          <w:p>
            <w:r>
              <w:t>Accuracy</w:t>
            </w:r>
          </w:p>
        </w:tc>
      </w:tr>
      <w:tr>
        <w:tc>
          <w:tcPr>
            <w:tcW w:type="dxa" w:w="1080"/>
          </w:tcPr>
          <w:p>
            <w:r>
              <w:t>425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500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0.85</w:t>
            </w:r>
          </w:p>
        </w:tc>
        <w:tc>
          <w:tcPr>
            <w:tcW w:type="dxa" w:w="1080"/>
          </w:tcPr>
          <w:p>
            <w:r>
              <w:t>0.9189189189189189</w:t>
            </w:r>
          </w:p>
        </w:tc>
        <w:tc>
          <w:tcPr>
            <w:tcW w:type="dxa" w:w="1080"/>
          </w:tcPr>
          <w:p>
            <w:r>
              <w:t>0.925</w:t>
            </w:r>
          </w:p>
        </w:tc>
      </w:tr>
    </w:tbl>
    <w:p>
      <w:r>
        <w:t>Semgrep (p/owasp-top-ten, dataset)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TP</w:t>
            </w:r>
          </w:p>
        </w:tc>
        <w:tc>
          <w:tcPr>
            <w:tcW w:type="dxa" w:w="1080"/>
          </w:tcPr>
          <w:p>
            <w:r>
              <w:t>FP</w:t>
            </w:r>
          </w:p>
        </w:tc>
        <w:tc>
          <w:tcPr>
            <w:tcW w:type="dxa" w:w="1080"/>
          </w:tcPr>
          <w:p>
            <w:r>
              <w:t>TN</w:t>
            </w:r>
          </w:p>
        </w:tc>
        <w:tc>
          <w:tcPr>
            <w:tcW w:type="dxa" w:w="1080"/>
          </w:tcPr>
          <w:p>
            <w:r>
              <w:t>FN</w:t>
            </w:r>
          </w:p>
        </w:tc>
        <w:tc>
          <w:tcPr>
            <w:tcW w:type="dxa" w:w="1080"/>
          </w:tcPr>
          <w:p>
            <w:r>
              <w:t>Precision</w:t>
            </w:r>
          </w:p>
        </w:tc>
        <w:tc>
          <w:tcPr>
            <w:tcW w:type="dxa" w:w="1080"/>
          </w:tcPr>
          <w:p>
            <w:r>
              <w:t>Recall</w:t>
            </w:r>
          </w:p>
        </w:tc>
        <w:tc>
          <w:tcPr>
            <w:tcW w:type="dxa" w:w="1080"/>
          </w:tcPr>
          <w:p>
            <w:r>
              <w:t>F1</w:t>
            </w:r>
          </w:p>
        </w:tc>
        <w:tc>
          <w:tcPr>
            <w:tcW w:type="dxa" w:w="1080"/>
          </w:tcPr>
          <w:p>
            <w:r>
              <w:t>Accuracy</w:t>
            </w:r>
          </w:p>
        </w:tc>
      </w:tr>
      <w:tr>
        <w:tc>
          <w:tcPr>
            <w:tcW w:type="dxa" w:w="1080"/>
          </w:tcPr>
          <w:p>
            <w:r>
              <w:t>420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500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0.84</w:t>
            </w:r>
          </w:p>
        </w:tc>
        <w:tc>
          <w:tcPr>
            <w:tcW w:type="dxa" w:w="1080"/>
          </w:tcPr>
          <w:p>
            <w:r>
              <w:t>0.9130434782608696</w:t>
            </w:r>
          </w:p>
        </w:tc>
        <w:tc>
          <w:tcPr>
            <w:tcW w:type="dxa" w:w="1080"/>
          </w:tcPr>
          <w:p>
            <w:r>
              <w:t>0.92</w:t>
            </w:r>
          </w:p>
        </w:tc>
      </w:tr>
    </w:tbl>
    <w:p>
      <w:pPr>
        <w:pStyle w:val="Heading2"/>
      </w:pPr>
      <w:r>
        <w:t>Before FP fix vs After FP fix</w:t>
      </w:r>
    </w:p>
    <w:p>
      <w:r>
        <w:t>FP fixes for SQLi focused on removing source-only and non-SQL string-building patterns. On the SQLi dataset evaluation, the metrics stayed the same (no change in TP/FP/FN).</w:t>
      </w:r>
    </w:p>
    <w:p>
      <w:r>
        <w:t>Before (dataset)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TP</w:t>
            </w:r>
          </w:p>
        </w:tc>
        <w:tc>
          <w:tcPr>
            <w:tcW w:type="dxa" w:w="1080"/>
          </w:tcPr>
          <w:p>
            <w:r>
              <w:t>FP</w:t>
            </w:r>
          </w:p>
        </w:tc>
        <w:tc>
          <w:tcPr>
            <w:tcW w:type="dxa" w:w="1080"/>
          </w:tcPr>
          <w:p>
            <w:r>
              <w:t>TN</w:t>
            </w:r>
          </w:p>
        </w:tc>
        <w:tc>
          <w:tcPr>
            <w:tcW w:type="dxa" w:w="1080"/>
          </w:tcPr>
          <w:p>
            <w:r>
              <w:t>FN</w:t>
            </w:r>
          </w:p>
        </w:tc>
        <w:tc>
          <w:tcPr>
            <w:tcW w:type="dxa" w:w="1080"/>
          </w:tcPr>
          <w:p>
            <w:r>
              <w:t>Precision</w:t>
            </w:r>
          </w:p>
        </w:tc>
        <w:tc>
          <w:tcPr>
            <w:tcW w:type="dxa" w:w="1080"/>
          </w:tcPr>
          <w:p>
            <w:r>
              <w:t>Recall</w:t>
            </w:r>
          </w:p>
        </w:tc>
        <w:tc>
          <w:tcPr>
            <w:tcW w:type="dxa" w:w="1080"/>
          </w:tcPr>
          <w:p>
            <w:r>
              <w:t>F1</w:t>
            </w:r>
          </w:p>
        </w:tc>
        <w:tc>
          <w:tcPr>
            <w:tcW w:type="dxa" w:w="1080"/>
          </w:tcPr>
          <w:p>
            <w:r>
              <w:t>Accuracy</w:t>
            </w:r>
          </w:p>
        </w:tc>
      </w:tr>
      <w:tr>
        <w:tc>
          <w:tcPr>
            <w:tcW w:type="dxa" w:w="1080"/>
          </w:tcPr>
          <w:p>
            <w:r>
              <w:t>425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500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0.85</w:t>
            </w:r>
          </w:p>
        </w:tc>
        <w:tc>
          <w:tcPr>
            <w:tcW w:type="dxa" w:w="1080"/>
          </w:tcPr>
          <w:p>
            <w:r>
              <w:t>0.9189189189189189</w:t>
            </w:r>
          </w:p>
        </w:tc>
        <w:tc>
          <w:tcPr>
            <w:tcW w:type="dxa" w:w="1080"/>
          </w:tcPr>
          <w:p>
            <w:r>
              <w:t>0.925</w:t>
            </w:r>
          </w:p>
        </w:tc>
      </w:tr>
    </w:tbl>
    <w:p>
      <w:r>
        <w:t>After (dataset)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TP</w:t>
            </w:r>
          </w:p>
        </w:tc>
        <w:tc>
          <w:tcPr>
            <w:tcW w:type="dxa" w:w="1080"/>
          </w:tcPr>
          <w:p>
            <w:r>
              <w:t>FP</w:t>
            </w:r>
          </w:p>
        </w:tc>
        <w:tc>
          <w:tcPr>
            <w:tcW w:type="dxa" w:w="1080"/>
          </w:tcPr>
          <w:p>
            <w:r>
              <w:t>TN</w:t>
            </w:r>
          </w:p>
        </w:tc>
        <w:tc>
          <w:tcPr>
            <w:tcW w:type="dxa" w:w="1080"/>
          </w:tcPr>
          <w:p>
            <w:r>
              <w:t>FN</w:t>
            </w:r>
          </w:p>
        </w:tc>
        <w:tc>
          <w:tcPr>
            <w:tcW w:type="dxa" w:w="1080"/>
          </w:tcPr>
          <w:p>
            <w:r>
              <w:t>Precision</w:t>
            </w:r>
          </w:p>
        </w:tc>
        <w:tc>
          <w:tcPr>
            <w:tcW w:type="dxa" w:w="1080"/>
          </w:tcPr>
          <w:p>
            <w:r>
              <w:t>Recall</w:t>
            </w:r>
          </w:p>
        </w:tc>
        <w:tc>
          <w:tcPr>
            <w:tcW w:type="dxa" w:w="1080"/>
          </w:tcPr>
          <w:p>
            <w:r>
              <w:t>F1</w:t>
            </w:r>
          </w:p>
        </w:tc>
        <w:tc>
          <w:tcPr>
            <w:tcW w:type="dxa" w:w="1080"/>
          </w:tcPr>
          <w:p>
            <w:r>
              <w:t>Accuracy</w:t>
            </w:r>
          </w:p>
        </w:tc>
      </w:tr>
      <w:tr>
        <w:tc>
          <w:tcPr>
            <w:tcW w:type="dxa" w:w="1080"/>
          </w:tcPr>
          <w:p>
            <w:r>
              <w:t>425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500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0.85</w:t>
            </w:r>
          </w:p>
        </w:tc>
        <w:tc>
          <w:tcPr>
            <w:tcW w:type="dxa" w:w="1080"/>
          </w:tcPr>
          <w:p>
            <w:r>
              <w:t>0.9189189189189189</w:t>
            </w:r>
          </w:p>
        </w:tc>
        <w:tc>
          <w:tcPr>
            <w:tcW w:type="dxa" w:w="1080"/>
          </w:tcPr>
          <w:p>
            <w:r>
              <w:t>0.925</w:t>
            </w:r>
          </w:p>
        </w:tc>
      </w:tr>
    </w:tbl>
    <w:p>
      <w:r>
        <w:t>Typical FP cause: the tool sees dynamic SQL building, but the dynamic part is strictly whitelisted/validated and values are still passed via parameter binding.</w:t>
      </w:r>
    </w:p>
    <w:p>
      <w:pPr>
        <w:pStyle w:val="ListBullet"/>
      </w:pPr>
      <w:r>
        <w:t>FP: Whitelisted ORDER BY column</w:t>
      </w:r>
    </w:p>
    <w:p>
      <w:pPr>
        <w:pStyle w:val="ListBullet2"/>
      </w:pPr>
      <w:r>
        <w:t>Why FP: Dynamic identifier concatenation can look like SQLi even when constrained to a whitelist.</w:t>
      </w:r>
    </w:p>
    <w:p>
      <w:pPr>
        <w:pStyle w:val="ListBullet2"/>
      </w:pPr>
      <w:r>
        <w:t>Fix: Require a whitelist/allowlist check to treat identifier concatenation as safe (or lower severity).</w:t>
      </w:r>
    </w:p>
    <w:p>
      <w:r>
        <w:rPr>
          <w:rFonts w:ascii="Courier New" w:hAnsi="Courier New"/>
          <w:sz w:val="18"/>
        </w:rPr>
        <w:t>sort_by = request.args["sort"]</w:t>
        <w:br/>
        <w:t>if sort_by not in {"name", "created_at"}:</w:t>
        <w:br/>
        <w:t xml:space="preserve">    sort_by = "created_at"</w:t>
        <w:br/>
        <w:t>q = "SELECT * FROM users ORDER BY " + sort_by</w:t>
        <w:br/>
        <w:t>cursor.execute(q)</w:t>
        <w:br/>
      </w:r>
    </w:p>
    <w:p>
      <w:pPr>
        <w:pStyle w:val="ListBullet"/>
      </w:pPr>
      <w:r>
        <w:t>FP: Whitelisted table name + parameterized values</w:t>
      </w:r>
    </w:p>
    <w:p>
      <w:pPr>
        <w:pStyle w:val="ListBullet2"/>
      </w:pPr>
      <w:r>
        <w:t>Why FP: Detector flags dynamic table names, but this is safe when strictly whitelisted; values are parameterized.</w:t>
      </w:r>
    </w:p>
    <w:p>
      <w:pPr>
        <w:pStyle w:val="ListBullet2"/>
      </w:pPr>
      <w:r>
        <w:t>Fix: Model whitelist validation for identifiers; treat parameterized execute() as a safe sink for values.</w:t>
      </w:r>
    </w:p>
    <w:p>
      <w:r>
        <w:rPr>
          <w:rFonts w:ascii="Courier New" w:hAnsi="Courier New"/>
          <w:sz w:val="18"/>
        </w:rPr>
        <w:t>table = request.args["t"]</w:t>
        <w:br/>
        <w:t>allowed = {"users", "orders", "products"}</w:t>
        <w:br/>
        <w:t>if table not in allowed:</w:t>
        <w:br/>
        <w:t xml:space="preserve">    table = "users"</w:t>
        <w:br/>
        <w:br/>
        <w:t>q = "SELECT * FROM " + table + " WHERE id = %s"</w:t>
        <w:br/>
        <w:t>cursor.execute(q, (user_id,))</w:t>
        <w:br/>
      </w:r>
    </w:p>
    <w:p>
      <w:pPr>
        <w:pStyle w:val="ListBullet"/>
      </w:pPr>
      <w:r>
        <w:t>FP: LIMIT/OFFSET validated as integers (parameterized)</w:t>
      </w:r>
    </w:p>
    <w:p>
      <w:pPr>
        <w:pStyle w:val="ListBullet2"/>
      </w:pPr>
      <w:r>
        <w:t>Why FP: If the tool assumes any user-controlled pagination is SQLi, it may over-report.</w:t>
      </w:r>
    </w:p>
    <w:p>
      <w:pPr>
        <w:pStyle w:val="ListBullet2"/>
      </w:pPr>
      <w:r>
        <w:t>Fix: Recognize strict numeric validation + parameter binding as safe.</w:t>
      </w:r>
    </w:p>
    <w:p>
      <w:r>
        <w:rPr>
          <w:rFonts w:ascii="Courier New" w:hAnsi="Courier New"/>
          <w:sz w:val="18"/>
        </w:rPr>
        <w:t>limit = int(request.args.get("limit", "20"))</w:t>
        <w:br/>
        <w:t>offset = int(request.args.get("offset", "0"))</w:t>
        <w:br/>
        <w:t>limit = max(1, min(limit, 100))</w:t>
        <w:br/>
        <w:t>offset = max(0, offset)</w:t>
        <w:br/>
        <w:br/>
        <w:t>q = "SELECT * FROM logs LIMIT %s OFFSET %s"</w:t>
        <w:br/>
        <w:t>cursor.execute(q, (limit, offset))</w:t>
        <w:br/>
      </w:r>
    </w:p>
    <w:p>
      <w:pPr>
        <w:pStyle w:val="ListBullet"/>
      </w:pPr>
      <w:r>
        <w:t>FP: Whitelisted column name in WHERE clause</w:t>
      </w:r>
    </w:p>
    <w:p>
      <w:pPr>
        <w:pStyle w:val="ListBullet2"/>
      </w:pPr>
      <w:r>
        <w:t>Why FP: Dynamic column names are risky in general, so simple scanners may flag them even when constrained.</w:t>
      </w:r>
    </w:p>
    <w:p>
      <w:pPr>
        <w:pStyle w:val="ListBullet2"/>
      </w:pPr>
      <w:r>
        <w:t>Fix: Treat identifier concatenation as safe only when a strict allowlist/whitelist check exists.</w:t>
      </w:r>
    </w:p>
    <w:p>
      <w:r>
        <w:rPr>
          <w:rFonts w:ascii="Courier New" w:hAnsi="Courier New"/>
          <w:sz w:val="18"/>
        </w:rPr>
        <w:t>col = request.args["col"]</w:t>
        <w:br/>
        <w:t>allowed_cols = {"email", "username", "status"}</w:t>
        <w:br/>
        <w:t>if col not in allowed_cols:</w:t>
        <w:br/>
        <w:t xml:space="preserve">    col = "username"</w:t>
        <w:br/>
        <w:br/>
        <w:t>q = "SELECT * FROM users WHERE " + col + " = %s"</w:t>
        <w:br/>
        <w:t>cursor.execute(q, (value,))</w:t>
        <w:br/>
      </w:r>
    </w:p>
    <w:p>
      <w:pPr>
        <w:pStyle w:val="ListBullet"/>
      </w:pPr>
      <w:r>
        <w:t>FP: Whitelisted sort direction (ASC/DESC only)</w:t>
      </w:r>
    </w:p>
    <w:p>
      <w:pPr>
        <w:pStyle w:val="ListBullet2"/>
      </w:pPr>
      <w:r>
        <w:t>Why FP: Scanner sees string concatenation into SQL and flags, ignoring that only ASC/DESC is allowed.</w:t>
      </w:r>
    </w:p>
    <w:p>
      <w:pPr>
        <w:pStyle w:val="ListBullet2"/>
      </w:pPr>
      <w:r>
        <w:t>Fix: Model allowlisted sort direction checks; lower severity or suppress when constrained.</w:t>
      </w:r>
    </w:p>
    <w:p>
      <w:r>
        <w:rPr>
          <w:rFonts w:ascii="Courier New" w:hAnsi="Courier New"/>
          <w:sz w:val="18"/>
        </w:rPr>
        <w:t>direction = request.args.get("dir", "ASC").upper()</w:t>
        <w:br/>
        <w:t>if direction not in {"ASC", "DESC"}:</w:t>
        <w:br/>
        <w:t xml:space="preserve">    direction = "ASC"</w:t>
        <w:br/>
        <w:br/>
        <w:t>q = "SELECT * FROM users ORDER BY created_at " + direction</w:t>
        <w:br/>
        <w:t>cursor.execute(q)</w:t>
        <w:br/>
      </w:r>
    </w:p>
    <w:p>
      <w:pPr>
        <w:pStyle w:val="ListBullet"/>
      </w:pPr>
      <w:r>
        <w:t>FP: Safe IN-list query using placeholders (values validated/parameterized)</w:t>
      </w:r>
    </w:p>
    <w:p>
      <w:pPr>
        <w:pStyle w:val="ListBullet2"/>
      </w:pPr>
      <w:r>
        <w:t>Why FP: Some detectors flag any dynamic query string building, even when only placeholders are built.</w:t>
      </w:r>
    </w:p>
    <w:p>
      <w:pPr>
        <w:pStyle w:val="ListBullet2"/>
      </w:pPr>
      <w:r>
        <w:t>Fix: Treat placeholder construction as safe when the values are parameterized (and optionally validated).</w:t>
      </w:r>
    </w:p>
    <w:p>
      <w:r>
        <w:rPr>
          <w:rFonts w:ascii="Courier New" w:hAnsi="Courier New"/>
          <w:sz w:val="18"/>
        </w:rPr>
        <w:t>ids = request.args.get("ids", "")</w:t>
        <w:br/>
        <w:t>id_list = [int(x) for x in ids.split(",") if x.strip() != ""]</w:t>
        <w:br/>
        <w:t>placeholders = ",".join(["%s"] * len(id_list))</w:t>
        <w:br/>
        <w:br/>
        <w:t>q = "SELECT * FROM users WHERE id IN (" + placeholders + ")"</w:t>
        <w:br/>
        <w:t>cursor.execute(q, tuple(id_list))</w:t>
        <w:br/>
      </w:r>
    </w:p>
    <w:p>
      <w:pPr>
        <w:pStyle w:val="Heading1"/>
      </w:pPr>
      <w:r>
        <w:t>Cross-Site Scripting (XSS) — FP examples</w:t>
      </w:r>
    </w:p>
    <w:p>
      <w:pPr>
        <w:pStyle w:val="Heading2"/>
      </w:pPr>
      <w:r>
        <w:t>Comparison: My tool vs Semgrep</w:t>
      </w:r>
    </w:p>
    <w:p>
      <w:r>
        <w:t>My tool (micro-benchmark, after)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TP</w:t>
            </w:r>
          </w:p>
        </w:tc>
        <w:tc>
          <w:tcPr>
            <w:tcW w:type="dxa" w:w="1080"/>
          </w:tcPr>
          <w:p>
            <w:r>
              <w:t>FP</w:t>
            </w:r>
          </w:p>
        </w:tc>
        <w:tc>
          <w:tcPr>
            <w:tcW w:type="dxa" w:w="1080"/>
          </w:tcPr>
          <w:p>
            <w:r>
              <w:t>TN</w:t>
            </w:r>
          </w:p>
        </w:tc>
        <w:tc>
          <w:tcPr>
            <w:tcW w:type="dxa" w:w="1080"/>
          </w:tcPr>
          <w:p>
            <w:r>
              <w:t>FN</w:t>
            </w:r>
          </w:p>
        </w:tc>
        <w:tc>
          <w:tcPr>
            <w:tcW w:type="dxa" w:w="1080"/>
          </w:tcPr>
          <w:p>
            <w:r>
              <w:t>Precision</w:t>
            </w:r>
          </w:p>
        </w:tc>
        <w:tc>
          <w:tcPr>
            <w:tcW w:type="dxa" w:w="1080"/>
          </w:tcPr>
          <w:p>
            <w:r>
              <w:t>Recall</w:t>
            </w:r>
          </w:p>
        </w:tc>
        <w:tc>
          <w:tcPr>
            <w:tcW w:type="dxa" w:w="1080"/>
          </w:tcPr>
          <w:p>
            <w:r>
              <w:t>F1</w:t>
            </w:r>
          </w:p>
        </w:tc>
        <w:tc>
          <w:tcPr>
            <w:tcW w:type="dxa" w:w="1080"/>
          </w:tcPr>
          <w:p>
            <w:r>
              <w:t>Accuracy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</w:tr>
    </w:tbl>
    <w:p>
      <w:r>
        <w:t>Semgrep (p/owasp-top-ten, micro-benchmark)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TP</w:t>
            </w:r>
          </w:p>
        </w:tc>
        <w:tc>
          <w:tcPr>
            <w:tcW w:type="dxa" w:w="1080"/>
          </w:tcPr>
          <w:p>
            <w:r>
              <w:t>FP</w:t>
            </w:r>
          </w:p>
        </w:tc>
        <w:tc>
          <w:tcPr>
            <w:tcW w:type="dxa" w:w="1080"/>
          </w:tcPr>
          <w:p>
            <w:r>
              <w:t>TN</w:t>
            </w:r>
          </w:p>
        </w:tc>
        <w:tc>
          <w:tcPr>
            <w:tcW w:type="dxa" w:w="1080"/>
          </w:tcPr>
          <w:p>
            <w:r>
              <w:t>FN</w:t>
            </w:r>
          </w:p>
        </w:tc>
        <w:tc>
          <w:tcPr>
            <w:tcW w:type="dxa" w:w="1080"/>
          </w:tcPr>
          <w:p>
            <w:r>
              <w:t>Precision</w:t>
            </w:r>
          </w:p>
        </w:tc>
        <w:tc>
          <w:tcPr>
            <w:tcW w:type="dxa" w:w="1080"/>
          </w:tcPr>
          <w:p>
            <w:r>
              <w:t>Recall</w:t>
            </w:r>
          </w:p>
        </w:tc>
        <w:tc>
          <w:tcPr>
            <w:tcW w:type="dxa" w:w="1080"/>
          </w:tcPr>
          <w:p>
            <w:r>
              <w:t>F1</w:t>
            </w:r>
          </w:p>
        </w:tc>
        <w:tc>
          <w:tcPr>
            <w:tcW w:type="dxa" w:w="1080"/>
          </w:tcPr>
          <w:p>
            <w:r>
              <w:t>Accuracy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</w:tr>
    </w:tbl>
    <w:p>
      <w:pPr>
        <w:pStyle w:val="Heading2"/>
      </w:pPr>
      <w:r>
        <w:t>Before FP fix vs After FP fix</w:t>
      </w:r>
    </w:p>
    <w:p>
      <w:r>
        <w:t>Before (my tool micro-benchmark)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TP</w:t>
            </w:r>
          </w:p>
        </w:tc>
        <w:tc>
          <w:tcPr>
            <w:tcW w:type="dxa" w:w="1080"/>
          </w:tcPr>
          <w:p>
            <w:r>
              <w:t>FP</w:t>
            </w:r>
          </w:p>
        </w:tc>
        <w:tc>
          <w:tcPr>
            <w:tcW w:type="dxa" w:w="1080"/>
          </w:tcPr>
          <w:p>
            <w:r>
              <w:t>TN</w:t>
            </w:r>
          </w:p>
        </w:tc>
        <w:tc>
          <w:tcPr>
            <w:tcW w:type="dxa" w:w="1080"/>
          </w:tcPr>
          <w:p>
            <w:r>
              <w:t>FN</w:t>
            </w:r>
          </w:p>
        </w:tc>
        <w:tc>
          <w:tcPr>
            <w:tcW w:type="dxa" w:w="1080"/>
          </w:tcPr>
          <w:p>
            <w:r>
              <w:t>Precision</w:t>
            </w:r>
          </w:p>
        </w:tc>
        <w:tc>
          <w:tcPr>
            <w:tcW w:type="dxa" w:w="1080"/>
          </w:tcPr>
          <w:p>
            <w:r>
              <w:t>Recall</w:t>
            </w:r>
          </w:p>
        </w:tc>
        <w:tc>
          <w:tcPr>
            <w:tcW w:type="dxa" w:w="1080"/>
          </w:tcPr>
          <w:p>
            <w:r>
              <w:t>F1</w:t>
            </w:r>
          </w:p>
        </w:tc>
        <w:tc>
          <w:tcPr>
            <w:tcW w:type="dxa" w:w="1080"/>
          </w:tcPr>
          <w:p>
            <w:r>
              <w:t>Accuracy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0.25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0.4</w:t>
            </w:r>
          </w:p>
        </w:tc>
        <w:tc>
          <w:tcPr>
            <w:tcW w:type="dxa" w:w="1080"/>
          </w:tcPr>
          <w:p>
            <w:r>
              <w:t>0.25</w:t>
            </w:r>
          </w:p>
        </w:tc>
      </w:tr>
    </w:tbl>
    <w:p>
      <w:r>
        <w:t>After (my tool micro-benchmark)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TP</w:t>
            </w:r>
          </w:p>
        </w:tc>
        <w:tc>
          <w:tcPr>
            <w:tcW w:type="dxa" w:w="1080"/>
          </w:tcPr>
          <w:p>
            <w:r>
              <w:t>FP</w:t>
            </w:r>
          </w:p>
        </w:tc>
        <w:tc>
          <w:tcPr>
            <w:tcW w:type="dxa" w:w="1080"/>
          </w:tcPr>
          <w:p>
            <w:r>
              <w:t>TN</w:t>
            </w:r>
          </w:p>
        </w:tc>
        <w:tc>
          <w:tcPr>
            <w:tcW w:type="dxa" w:w="1080"/>
          </w:tcPr>
          <w:p>
            <w:r>
              <w:t>FN</w:t>
            </w:r>
          </w:p>
        </w:tc>
        <w:tc>
          <w:tcPr>
            <w:tcW w:type="dxa" w:w="1080"/>
          </w:tcPr>
          <w:p>
            <w:r>
              <w:t>Precision</w:t>
            </w:r>
          </w:p>
        </w:tc>
        <w:tc>
          <w:tcPr>
            <w:tcW w:type="dxa" w:w="1080"/>
          </w:tcPr>
          <w:p>
            <w:r>
              <w:t>Recall</w:t>
            </w:r>
          </w:p>
        </w:tc>
        <w:tc>
          <w:tcPr>
            <w:tcW w:type="dxa" w:w="1080"/>
          </w:tcPr>
          <w:p>
            <w:r>
              <w:t>F1</w:t>
            </w:r>
          </w:p>
        </w:tc>
        <w:tc>
          <w:tcPr>
            <w:tcW w:type="dxa" w:w="1080"/>
          </w:tcPr>
          <w:p>
            <w:r>
              <w:t>Accuracy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</w:tr>
    </w:tbl>
    <w:p>
      <w:r>
        <w:t>Typical FP cause: the tool sees untrusted input flowing to the DOM, but the sink is safe (text sinks) or the input is sanitized/validated.</w:t>
      </w:r>
    </w:p>
    <w:p>
      <w:pPr>
        <w:pStyle w:val="ListBullet"/>
      </w:pPr>
      <w:r>
        <w:t>FP: textContent (safe text sink)</w:t>
      </w:r>
    </w:p>
    <w:p>
      <w:pPr>
        <w:pStyle w:val="ListBullet2"/>
      </w:pPr>
      <w:r>
        <w:t>Why FP: Simple rules may treat any URL input → DOM write as XSS.</w:t>
      </w:r>
    </w:p>
    <w:p>
      <w:pPr>
        <w:pStyle w:val="ListBullet2"/>
      </w:pPr>
      <w:r>
        <w:t>Fix: Treat text sinks (textContent, innerText, createTextNode) as safe by default.</w:t>
      </w:r>
    </w:p>
    <w:p>
      <w:r>
        <w:rPr>
          <w:rFonts w:ascii="Courier New" w:hAnsi="Courier New"/>
          <w:sz w:val="18"/>
        </w:rPr>
        <w:t>const name = new URLSearchParams(location.search).get("name");</w:t>
        <w:br/>
        <w:t>document.getElementById("out").textContent = name;</w:t>
        <w:br/>
      </w:r>
    </w:p>
    <w:p>
      <w:pPr>
        <w:pStyle w:val="ListBullet"/>
      </w:pPr>
      <w:r>
        <w:t>FP: Sanitized HTML before innerHTML (trusted sanitizer)</w:t>
      </w:r>
    </w:p>
    <w:p>
      <w:pPr>
        <w:pStyle w:val="ListBullet2"/>
      </w:pPr>
      <w:r>
        <w:t>Why FP: Tool flags innerHTML regardless of sanitization step.</w:t>
      </w:r>
    </w:p>
    <w:p>
      <w:pPr>
        <w:pStyle w:val="ListBullet2"/>
      </w:pPr>
      <w:r>
        <w:t>Fix: Model common sanitizers (DOMPurify, sanitize-html) as sanitization functions before HTML sinks.</w:t>
      </w:r>
    </w:p>
    <w:p>
      <w:r>
        <w:rPr>
          <w:rFonts w:ascii="Courier New" w:hAnsi="Courier New"/>
          <w:sz w:val="18"/>
        </w:rPr>
        <w:t>const html = DOMPurify.sanitize(userHtml, { ALLOWED_TAGS: ["b", "i", "a"] });</w:t>
        <w:br/>
        <w:t>document.getElementById("out").innerHTML = html;</w:t>
        <w:br/>
      </w:r>
    </w:p>
    <w:p>
      <w:pPr>
        <w:pStyle w:val="ListBullet"/>
      </w:pPr>
      <w:r>
        <w:t>FP: Validated URL protocol before assigning href</w:t>
      </w:r>
    </w:p>
    <w:p>
      <w:pPr>
        <w:pStyle w:val="ListBullet2"/>
      </w:pPr>
      <w:r>
        <w:t>Why FP: Tool flags href assignment from user input but ignores protocol validation.</w:t>
      </w:r>
    </w:p>
    <w:p>
      <w:pPr>
        <w:pStyle w:val="ListBullet2"/>
      </w:pPr>
      <w:r>
        <w:t>Fix: Treat allowlist checks on protocol (http/https) as sanitization for URL sinks.</w:t>
      </w:r>
    </w:p>
    <w:p>
      <w:r>
        <w:rPr>
          <w:rFonts w:ascii="Courier New" w:hAnsi="Courier New"/>
          <w:sz w:val="18"/>
        </w:rPr>
        <w:t>const u = new URL(inputUrl);</w:t>
        <w:br/>
        <w:t>if (u.protocol === "http:" || u.protocol === "https:") {</w:t>
        <w:br/>
        <w:t xml:space="preserve">  link.href = u.toString();</w:t>
        <w:br/>
        <w:t>}</w:t>
        <w:br/>
      </w:r>
    </w:p>
    <w:p>
      <w:pPr>
        <w:pStyle w:val="Heading1"/>
      </w:pPr>
      <w:r>
        <w:t>CSRF — FP examples</w:t>
      </w:r>
    </w:p>
    <w:p>
      <w:pPr>
        <w:pStyle w:val="Heading2"/>
      </w:pPr>
      <w:r>
        <w:t>Comparison: My tool vs Semgrep</w:t>
      </w:r>
    </w:p>
    <w:p>
      <w:r>
        <w:t>My tool (micro-benchmark, after)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TP</w:t>
            </w:r>
          </w:p>
        </w:tc>
        <w:tc>
          <w:tcPr>
            <w:tcW w:type="dxa" w:w="1080"/>
          </w:tcPr>
          <w:p>
            <w:r>
              <w:t>FP</w:t>
            </w:r>
          </w:p>
        </w:tc>
        <w:tc>
          <w:tcPr>
            <w:tcW w:type="dxa" w:w="1080"/>
          </w:tcPr>
          <w:p>
            <w:r>
              <w:t>TN</w:t>
            </w:r>
          </w:p>
        </w:tc>
        <w:tc>
          <w:tcPr>
            <w:tcW w:type="dxa" w:w="1080"/>
          </w:tcPr>
          <w:p>
            <w:r>
              <w:t>FN</w:t>
            </w:r>
          </w:p>
        </w:tc>
        <w:tc>
          <w:tcPr>
            <w:tcW w:type="dxa" w:w="1080"/>
          </w:tcPr>
          <w:p>
            <w:r>
              <w:t>Precision</w:t>
            </w:r>
          </w:p>
        </w:tc>
        <w:tc>
          <w:tcPr>
            <w:tcW w:type="dxa" w:w="1080"/>
          </w:tcPr>
          <w:p>
            <w:r>
              <w:t>Recall</w:t>
            </w:r>
          </w:p>
        </w:tc>
        <w:tc>
          <w:tcPr>
            <w:tcW w:type="dxa" w:w="1080"/>
          </w:tcPr>
          <w:p>
            <w:r>
              <w:t>F1</w:t>
            </w:r>
          </w:p>
        </w:tc>
        <w:tc>
          <w:tcPr>
            <w:tcW w:type="dxa" w:w="1080"/>
          </w:tcPr>
          <w:p>
            <w:r>
              <w:t>Accuracy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0.5</w:t>
            </w:r>
          </w:p>
        </w:tc>
        <w:tc>
          <w:tcPr>
            <w:tcW w:type="dxa" w:w="1080"/>
          </w:tcPr>
          <w:p>
            <w:r>
              <w:t>0.6666666666666666</w:t>
            </w:r>
          </w:p>
        </w:tc>
        <w:tc>
          <w:tcPr>
            <w:tcW w:type="dxa" w:w="1080"/>
          </w:tcPr>
          <w:p>
            <w:r>
              <w:t>0.75</w:t>
            </w:r>
          </w:p>
        </w:tc>
      </w:tr>
    </w:tbl>
    <w:p>
      <w:r>
        <w:t>Semgrep (p/owasp-top-ten, micro-benchmark)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TP</w:t>
            </w:r>
          </w:p>
        </w:tc>
        <w:tc>
          <w:tcPr>
            <w:tcW w:type="dxa" w:w="1080"/>
          </w:tcPr>
          <w:p>
            <w:r>
              <w:t>FP</w:t>
            </w:r>
          </w:p>
        </w:tc>
        <w:tc>
          <w:tcPr>
            <w:tcW w:type="dxa" w:w="1080"/>
          </w:tcPr>
          <w:p>
            <w:r>
              <w:t>TN</w:t>
            </w:r>
          </w:p>
        </w:tc>
        <w:tc>
          <w:tcPr>
            <w:tcW w:type="dxa" w:w="1080"/>
          </w:tcPr>
          <w:p>
            <w:r>
              <w:t>FN</w:t>
            </w:r>
          </w:p>
        </w:tc>
        <w:tc>
          <w:tcPr>
            <w:tcW w:type="dxa" w:w="1080"/>
          </w:tcPr>
          <w:p>
            <w:r>
              <w:t>Precision</w:t>
            </w:r>
          </w:p>
        </w:tc>
        <w:tc>
          <w:tcPr>
            <w:tcW w:type="dxa" w:w="1080"/>
          </w:tcPr>
          <w:p>
            <w:r>
              <w:t>Recall</w:t>
            </w:r>
          </w:p>
        </w:tc>
        <w:tc>
          <w:tcPr>
            <w:tcW w:type="dxa" w:w="1080"/>
          </w:tcPr>
          <w:p>
            <w:r>
              <w:t>F1</w:t>
            </w:r>
          </w:p>
        </w:tc>
        <w:tc>
          <w:tcPr>
            <w:tcW w:type="dxa" w:w="1080"/>
          </w:tcPr>
          <w:p>
            <w:r>
              <w:t>Accuracy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0.5</w:t>
            </w:r>
          </w:p>
        </w:tc>
      </w:tr>
    </w:tbl>
    <w:p>
      <w:pPr>
        <w:pStyle w:val="Heading2"/>
      </w:pPr>
      <w:r>
        <w:t>Before FP fix vs After FP fix</w:t>
      </w:r>
    </w:p>
    <w:p>
      <w:r>
        <w:t>Before (my tool micro-benchmark)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TP</w:t>
            </w:r>
          </w:p>
        </w:tc>
        <w:tc>
          <w:tcPr>
            <w:tcW w:type="dxa" w:w="1080"/>
          </w:tcPr>
          <w:p>
            <w:r>
              <w:t>FP</w:t>
            </w:r>
          </w:p>
        </w:tc>
        <w:tc>
          <w:tcPr>
            <w:tcW w:type="dxa" w:w="1080"/>
          </w:tcPr>
          <w:p>
            <w:r>
              <w:t>TN</w:t>
            </w:r>
          </w:p>
        </w:tc>
        <w:tc>
          <w:tcPr>
            <w:tcW w:type="dxa" w:w="1080"/>
          </w:tcPr>
          <w:p>
            <w:r>
              <w:t>FN</w:t>
            </w:r>
          </w:p>
        </w:tc>
        <w:tc>
          <w:tcPr>
            <w:tcW w:type="dxa" w:w="1080"/>
          </w:tcPr>
          <w:p>
            <w:r>
              <w:t>Precision</w:t>
            </w:r>
          </w:p>
        </w:tc>
        <w:tc>
          <w:tcPr>
            <w:tcW w:type="dxa" w:w="1080"/>
          </w:tcPr>
          <w:p>
            <w:r>
              <w:t>Recall</w:t>
            </w:r>
          </w:p>
        </w:tc>
        <w:tc>
          <w:tcPr>
            <w:tcW w:type="dxa" w:w="1080"/>
          </w:tcPr>
          <w:p>
            <w:r>
              <w:t>F1</w:t>
            </w:r>
          </w:p>
        </w:tc>
        <w:tc>
          <w:tcPr>
            <w:tcW w:type="dxa" w:w="1080"/>
          </w:tcPr>
          <w:p>
            <w:r>
              <w:t>Accuracy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0.5</w:t>
            </w:r>
          </w:p>
        </w:tc>
        <w:tc>
          <w:tcPr>
            <w:tcW w:type="dxa" w:w="1080"/>
          </w:tcPr>
          <w:p>
            <w:r>
              <w:t>0.6666666666666666</w:t>
            </w:r>
          </w:p>
        </w:tc>
        <w:tc>
          <w:tcPr>
            <w:tcW w:type="dxa" w:w="1080"/>
          </w:tcPr>
          <w:p>
            <w:r>
              <w:t>0.75</w:t>
            </w:r>
          </w:p>
        </w:tc>
      </w:tr>
    </w:tbl>
    <w:p>
      <w:r>
        <w:t>After (my tool micro-benchmark)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TP</w:t>
            </w:r>
          </w:p>
        </w:tc>
        <w:tc>
          <w:tcPr>
            <w:tcW w:type="dxa" w:w="1080"/>
          </w:tcPr>
          <w:p>
            <w:r>
              <w:t>FP</w:t>
            </w:r>
          </w:p>
        </w:tc>
        <w:tc>
          <w:tcPr>
            <w:tcW w:type="dxa" w:w="1080"/>
          </w:tcPr>
          <w:p>
            <w:r>
              <w:t>TN</w:t>
            </w:r>
          </w:p>
        </w:tc>
        <w:tc>
          <w:tcPr>
            <w:tcW w:type="dxa" w:w="1080"/>
          </w:tcPr>
          <w:p>
            <w:r>
              <w:t>FN</w:t>
            </w:r>
          </w:p>
        </w:tc>
        <w:tc>
          <w:tcPr>
            <w:tcW w:type="dxa" w:w="1080"/>
          </w:tcPr>
          <w:p>
            <w:r>
              <w:t>Precision</w:t>
            </w:r>
          </w:p>
        </w:tc>
        <w:tc>
          <w:tcPr>
            <w:tcW w:type="dxa" w:w="1080"/>
          </w:tcPr>
          <w:p>
            <w:r>
              <w:t>Recall</w:t>
            </w:r>
          </w:p>
        </w:tc>
        <w:tc>
          <w:tcPr>
            <w:tcW w:type="dxa" w:w="1080"/>
          </w:tcPr>
          <w:p>
            <w:r>
              <w:t>F1</w:t>
            </w:r>
          </w:p>
        </w:tc>
        <w:tc>
          <w:tcPr>
            <w:tcW w:type="dxa" w:w="1080"/>
          </w:tcPr>
          <w:p>
            <w:r>
              <w:t>Accuracy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0.5</w:t>
            </w:r>
          </w:p>
        </w:tc>
        <w:tc>
          <w:tcPr>
            <w:tcW w:type="dxa" w:w="1080"/>
          </w:tcPr>
          <w:p>
            <w:r>
              <w:t>0.6666666666666666</w:t>
            </w:r>
          </w:p>
        </w:tc>
        <w:tc>
          <w:tcPr>
            <w:tcW w:type="dxa" w:w="1080"/>
          </w:tcPr>
          <w:p>
            <w:r>
              <w:t>0.75</w:t>
            </w:r>
          </w:p>
        </w:tc>
      </w:tr>
    </w:tbl>
    <w:p>
      <w:r>
        <w:t>Typical FP cause: scanner assumes every state-changing endpoint is vulnerable, but real apps use defenses like SameSite cookies, CSRF tokens, or Authorization headers (not cookies).</w:t>
      </w:r>
    </w:p>
    <w:p>
      <w:pPr>
        <w:pStyle w:val="ListBullet"/>
      </w:pPr>
      <w:r>
        <w:t>FP: API uses Authorization header (no cookie-based auth)</w:t>
      </w:r>
    </w:p>
    <w:p>
      <w:pPr>
        <w:pStyle w:val="ListBullet2"/>
      </w:pPr>
      <w:r>
        <w:t>Why FP: If authentication is not cookie-based, classic CSRF is much harder because browsers don't attach Authorization headers automatically.</w:t>
      </w:r>
    </w:p>
    <w:p>
      <w:pPr>
        <w:pStyle w:val="ListBullet2"/>
      </w:pPr>
      <w:r>
        <w:t>Fix: Reduce alerts when endpoints are protected by explicit Authorization headers (token-based auth) rather than ambient cookies.</w:t>
      </w:r>
    </w:p>
    <w:p>
      <w:r>
        <w:rPr>
          <w:rFonts w:ascii="Courier New" w:hAnsi="Courier New"/>
          <w:sz w:val="18"/>
        </w:rPr>
        <w:t>// Client sends token, not cookies:</w:t>
        <w:br/>
        <w:t>fetch("/api/profile", {</w:t>
        <w:br/>
        <w:t xml:space="preserve">  method: "POST",</w:t>
        <w:br/>
        <w:t xml:space="preserve">  headers: { "Authorization": "Bearer " + token, "Content-Type": "application/json" },</w:t>
        <w:br/>
        <w:t xml:space="preserve">  body: JSON.stringify({ bio: "hi" })</w:t>
        <w:br/>
        <w:t>});</w:t>
        <w:br/>
      </w:r>
    </w:p>
    <w:p>
      <w:pPr>
        <w:pStyle w:val="ListBullet"/>
      </w:pPr>
      <w:r>
        <w:t>FP: CSRF token validated on state-changing requests</w:t>
      </w:r>
    </w:p>
    <w:p>
      <w:pPr>
        <w:pStyle w:val="ListBullet2"/>
      </w:pPr>
      <w:r>
        <w:t>Why FP: Tool flags POST endpoints but ignores explicit CSRF token verification.</w:t>
      </w:r>
    </w:p>
    <w:p>
      <w:pPr>
        <w:pStyle w:val="ListBullet2"/>
      </w:pPr>
      <w:r>
        <w:t>Fix: Model CSRF token validation patterns (X-CSRF-Token header, form token) as defenses that lower/suppress findings.</w:t>
      </w:r>
    </w:p>
    <w:p>
      <w:r>
        <w:rPr>
          <w:rFonts w:ascii="Courier New" w:hAnsi="Courier New"/>
          <w:sz w:val="18"/>
        </w:rPr>
        <w:t>@app.post("/transfer")</w:t>
        <w:br/>
        <w:t>def transfer():</w:t>
        <w:br/>
        <w:t xml:space="preserve">    csrf = request.headers.get("X-CSRF-Token")</w:t>
        <w:br/>
        <w:t xml:space="preserve">    if not csrf or csrf != session.get("csrf_token"):</w:t>
        <w:br/>
        <w:t xml:space="preserve">        abort(403)</w:t>
        <w:br/>
        <w:t xml:space="preserve">    # perform transfer ...</w:t>
        <w:br/>
      </w:r>
    </w:p>
    <w:p>
      <w:pPr>
        <w:pStyle w:val="ListBullet"/>
      </w:pPr>
      <w:r>
        <w:t>FP: SameSite cookies reduce CSRF risk (configuration-based)</w:t>
      </w:r>
    </w:p>
    <w:p>
      <w:pPr>
        <w:pStyle w:val="ListBullet2"/>
      </w:pPr>
      <w:r>
        <w:t>Why FP: A code-only scanner may report CSRF without seeing cookie attributes.</w:t>
      </w:r>
    </w:p>
    <w:p>
      <w:pPr>
        <w:pStyle w:val="ListBullet2"/>
      </w:pPr>
      <w:r>
        <w:t>Fix: In reports, mention cookie policy (SameSite=Lax/Strict + Secure) as mitigating control; reduce severity if enforced.</w:t>
      </w:r>
    </w:p>
    <w:p>
      <w:r>
        <w:rPr>
          <w:rFonts w:ascii="Courier New" w:hAnsi="Courier New"/>
          <w:sz w:val="18"/>
        </w:rPr>
        <w:t># Example cookie policy (framework config / response)</w:t>
        <w:br/>
        <w:t># Set-Cookie: session=...; Secure; HttpOnly; SameSite=Strict</w:t>
        <w:br/>
      </w:r>
    </w:p>
    <w:p>
      <w:pPr>
        <w:pStyle w:val="Heading1"/>
      </w:pPr>
      <w:r>
        <w:t>Command Injection — FP examples</w:t>
      </w:r>
    </w:p>
    <w:p>
      <w:pPr>
        <w:pStyle w:val="Heading2"/>
      </w:pPr>
      <w:r>
        <w:t>Comparison: My tool vs Semgrep</w:t>
      </w:r>
    </w:p>
    <w:p>
      <w:r>
        <w:t>My tool (micro-benchmark, after)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TP</w:t>
            </w:r>
          </w:p>
        </w:tc>
        <w:tc>
          <w:tcPr>
            <w:tcW w:type="dxa" w:w="1080"/>
          </w:tcPr>
          <w:p>
            <w:r>
              <w:t>FP</w:t>
            </w:r>
          </w:p>
        </w:tc>
        <w:tc>
          <w:tcPr>
            <w:tcW w:type="dxa" w:w="1080"/>
          </w:tcPr>
          <w:p>
            <w:r>
              <w:t>TN</w:t>
            </w:r>
          </w:p>
        </w:tc>
        <w:tc>
          <w:tcPr>
            <w:tcW w:type="dxa" w:w="1080"/>
          </w:tcPr>
          <w:p>
            <w:r>
              <w:t>FN</w:t>
            </w:r>
          </w:p>
        </w:tc>
        <w:tc>
          <w:tcPr>
            <w:tcW w:type="dxa" w:w="1080"/>
          </w:tcPr>
          <w:p>
            <w:r>
              <w:t>Precision</w:t>
            </w:r>
          </w:p>
        </w:tc>
        <w:tc>
          <w:tcPr>
            <w:tcW w:type="dxa" w:w="1080"/>
          </w:tcPr>
          <w:p>
            <w:r>
              <w:t>Recall</w:t>
            </w:r>
          </w:p>
        </w:tc>
        <w:tc>
          <w:tcPr>
            <w:tcW w:type="dxa" w:w="1080"/>
          </w:tcPr>
          <w:p>
            <w:r>
              <w:t>F1</w:t>
            </w:r>
          </w:p>
        </w:tc>
        <w:tc>
          <w:tcPr>
            <w:tcW w:type="dxa" w:w="1080"/>
          </w:tcPr>
          <w:p>
            <w:r>
              <w:t>Accuracy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</w:tr>
    </w:tbl>
    <w:p>
      <w:r>
        <w:t>Semgrep (p/owasp-top-ten, micro-benchmark)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TP</w:t>
            </w:r>
          </w:p>
        </w:tc>
        <w:tc>
          <w:tcPr>
            <w:tcW w:type="dxa" w:w="1080"/>
          </w:tcPr>
          <w:p>
            <w:r>
              <w:t>FP</w:t>
            </w:r>
          </w:p>
        </w:tc>
        <w:tc>
          <w:tcPr>
            <w:tcW w:type="dxa" w:w="1080"/>
          </w:tcPr>
          <w:p>
            <w:r>
              <w:t>TN</w:t>
            </w:r>
          </w:p>
        </w:tc>
        <w:tc>
          <w:tcPr>
            <w:tcW w:type="dxa" w:w="1080"/>
          </w:tcPr>
          <w:p>
            <w:r>
              <w:t>FN</w:t>
            </w:r>
          </w:p>
        </w:tc>
        <w:tc>
          <w:tcPr>
            <w:tcW w:type="dxa" w:w="1080"/>
          </w:tcPr>
          <w:p>
            <w:r>
              <w:t>Precision</w:t>
            </w:r>
          </w:p>
        </w:tc>
        <w:tc>
          <w:tcPr>
            <w:tcW w:type="dxa" w:w="1080"/>
          </w:tcPr>
          <w:p>
            <w:r>
              <w:t>Recall</w:t>
            </w:r>
          </w:p>
        </w:tc>
        <w:tc>
          <w:tcPr>
            <w:tcW w:type="dxa" w:w="1080"/>
          </w:tcPr>
          <w:p>
            <w:r>
              <w:t>F1</w:t>
            </w:r>
          </w:p>
        </w:tc>
        <w:tc>
          <w:tcPr>
            <w:tcW w:type="dxa" w:w="1080"/>
          </w:tcPr>
          <w:p>
            <w:r>
              <w:t>Accuracy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</w:tr>
    </w:tbl>
    <w:p>
      <w:pPr>
        <w:pStyle w:val="Heading2"/>
      </w:pPr>
      <w:r>
        <w:t>Before FP fix vs After FP fix</w:t>
      </w:r>
    </w:p>
    <w:p>
      <w:r>
        <w:t>Before (my tool micro-benchmark)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TP</w:t>
            </w:r>
          </w:p>
        </w:tc>
        <w:tc>
          <w:tcPr>
            <w:tcW w:type="dxa" w:w="1080"/>
          </w:tcPr>
          <w:p>
            <w:r>
              <w:t>FP</w:t>
            </w:r>
          </w:p>
        </w:tc>
        <w:tc>
          <w:tcPr>
            <w:tcW w:type="dxa" w:w="1080"/>
          </w:tcPr>
          <w:p>
            <w:r>
              <w:t>TN</w:t>
            </w:r>
          </w:p>
        </w:tc>
        <w:tc>
          <w:tcPr>
            <w:tcW w:type="dxa" w:w="1080"/>
          </w:tcPr>
          <w:p>
            <w:r>
              <w:t>FN</w:t>
            </w:r>
          </w:p>
        </w:tc>
        <w:tc>
          <w:tcPr>
            <w:tcW w:type="dxa" w:w="1080"/>
          </w:tcPr>
          <w:p>
            <w:r>
              <w:t>Precision</w:t>
            </w:r>
          </w:p>
        </w:tc>
        <w:tc>
          <w:tcPr>
            <w:tcW w:type="dxa" w:w="1080"/>
          </w:tcPr>
          <w:p>
            <w:r>
              <w:t>Recall</w:t>
            </w:r>
          </w:p>
        </w:tc>
        <w:tc>
          <w:tcPr>
            <w:tcW w:type="dxa" w:w="1080"/>
          </w:tcPr>
          <w:p>
            <w:r>
              <w:t>F1</w:t>
            </w:r>
          </w:p>
        </w:tc>
        <w:tc>
          <w:tcPr>
            <w:tcW w:type="dxa" w:w="1080"/>
          </w:tcPr>
          <w:p>
            <w:r>
              <w:t>Accuracy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</w:tr>
    </w:tbl>
    <w:p>
      <w:r>
        <w:t>After (my tool micro-benchmark)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TP</w:t>
            </w:r>
          </w:p>
        </w:tc>
        <w:tc>
          <w:tcPr>
            <w:tcW w:type="dxa" w:w="1080"/>
          </w:tcPr>
          <w:p>
            <w:r>
              <w:t>FP</w:t>
            </w:r>
          </w:p>
        </w:tc>
        <w:tc>
          <w:tcPr>
            <w:tcW w:type="dxa" w:w="1080"/>
          </w:tcPr>
          <w:p>
            <w:r>
              <w:t>TN</w:t>
            </w:r>
          </w:p>
        </w:tc>
        <w:tc>
          <w:tcPr>
            <w:tcW w:type="dxa" w:w="1080"/>
          </w:tcPr>
          <w:p>
            <w:r>
              <w:t>FN</w:t>
            </w:r>
          </w:p>
        </w:tc>
        <w:tc>
          <w:tcPr>
            <w:tcW w:type="dxa" w:w="1080"/>
          </w:tcPr>
          <w:p>
            <w:r>
              <w:t>Precision</w:t>
            </w:r>
          </w:p>
        </w:tc>
        <w:tc>
          <w:tcPr>
            <w:tcW w:type="dxa" w:w="1080"/>
          </w:tcPr>
          <w:p>
            <w:r>
              <w:t>Recall</w:t>
            </w:r>
          </w:p>
        </w:tc>
        <w:tc>
          <w:tcPr>
            <w:tcW w:type="dxa" w:w="1080"/>
          </w:tcPr>
          <w:p>
            <w:r>
              <w:t>F1</w:t>
            </w:r>
          </w:p>
        </w:tc>
        <w:tc>
          <w:tcPr>
            <w:tcW w:type="dxa" w:w="1080"/>
          </w:tcPr>
          <w:p>
            <w:r>
              <w:t>Accuracy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</w:tr>
    </w:tbl>
    <w:p>
      <w:r>
        <w:t>Typical FP cause: scanner flags any use of subprocess/os.system, but safe usage avoids shell interpretation (shell=False) and validates/whitelists user-controlled parts.</w:t>
      </w:r>
    </w:p>
    <w:p>
      <w:pPr>
        <w:pStyle w:val="ListBullet"/>
      </w:pPr>
      <w:r>
        <w:t>FP: subprocess.run with argument list (shell=False) + validated integer</w:t>
      </w:r>
    </w:p>
    <w:p>
      <w:pPr>
        <w:pStyle w:val="ListBullet2"/>
      </w:pPr>
      <w:r>
        <w:t>Why FP: If tool flags any subprocess call, it may miss that list-args with shell=False prevents shell metacharacter injection.</w:t>
      </w:r>
    </w:p>
    <w:p>
      <w:pPr>
        <w:pStyle w:val="ListBullet2"/>
      </w:pPr>
      <w:r>
        <w:t>Fix: Treat subprocess.run([...]) with shell=False as safer; focus on shell=True or string commands passed to a shell.</w:t>
      </w:r>
    </w:p>
    <w:p>
      <w:r>
        <w:rPr>
          <w:rFonts w:ascii="Courier New" w:hAnsi="Courier New"/>
          <w:sz w:val="18"/>
        </w:rPr>
        <w:t>import subprocess</w:t>
        <w:br/>
        <w:br/>
        <w:t>pid = int(request.args["pid"])</w:t>
        <w:br/>
        <w:t>subprocess.run(["kill", "-9", str(pid)], check=True)  # shell=False by default</w:t>
        <w:br/>
      </w:r>
    </w:p>
    <w:p>
      <w:pPr>
        <w:pStyle w:val="ListBullet"/>
      </w:pPr>
      <w:r>
        <w:t>FP: Whitelisted subcommand selection</w:t>
      </w:r>
    </w:p>
    <w:p>
      <w:pPr>
        <w:pStyle w:val="ListBullet2"/>
      </w:pPr>
      <w:r>
        <w:t>Why FP: Dynamic command selection can be safe when the entire command is selected from a fixed whitelist.</w:t>
      </w:r>
    </w:p>
    <w:p>
      <w:pPr>
        <w:pStyle w:val="ListBullet2"/>
      </w:pPr>
      <w:r>
        <w:t>Fix: Model allowlist selection as sanitization; only warn when user input is concatenated into a shell string.</w:t>
      </w:r>
    </w:p>
    <w:p>
      <w:r>
        <w:rPr>
          <w:rFonts w:ascii="Courier New" w:hAnsi="Courier New"/>
          <w:sz w:val="18"/>
        </w:rPr>
        <w:t>import subprocess</w:t>
        <w:br/>
        <w:br/>
        <w:t>action = request.args["action"]</w:t>
        <w:br/>
        <w:t>allowed = {"status": ["systemctl", "status", "nginx"], "restart": ["systemctl", "restart", "nginx"]}</w:t>
        <w:br/>
        <w:t>cmd = allowed.get(action)</w:t>
        <w:br/>
        <w:t>if not cmd:</w:t>
        <w:br/>
        <w:t xml:space="preserve">    abort(400)</w:t>
        <w:br/>
        <w:t>subprocess.run(cmd, check=True)</w:t>
        <w:br/>
      </w:r>
    </w:p>
    <w:p>
      <w:pPr>
        <w:pStyle w:val="ListBullet"/>
      </w:pPr>
      <w:r>
        <w:t>FP: Constant command; user input only as a non-shell argument</w:t>
      </w:r>
    </w:p>
    <w:p>
      <w:pPr>
        <w:pStyle w:val="ListBullet2"/>
      </w:pPr>
      <w:r>
        <w:t>Why FP: If the scanner assumes any user-controlled argument equals command injection, it can over-report.</w:t>
      </w:r>
    </w:p>
    <w:p>
      <w:pPr>
        <w:pStyle w:val="ListBullet2"/>
      </w:pPr>
      <w:r>
        <w:t>Fix: Differentiate command injection (shell parsing) from risky file/path usage (separate category).</w:t>
      </w:r>
    </w:p>
    <w:p>
      <w:r>
        <w:rPr>
          <w:rFonts w:ascii="Courier New" w:hAnsi="Courier New"/>
          <w:sz w:val="18"/>
        </w:rPr>
        <w:t>import subprocess</w:t>
        <w:br/>
        <w:br/>
        <w:t>filename = request.args["file"]</w:t>
        <w:br/>
        <w:t># The tool may flag because filename is user-controlled, but it's just an argument (no shell parsing).</w:t>
        <w:br/>
        <w:t>subprocess.run(["/usr/bin/sha256sum", filename], check=True)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