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7E82B" w14:textId="77777777" w:rsidR="003E0246" w:rsidRPr="003E0246" w:rsidRDefault="003E0246" w:rsidP="003E0246">
      <w:pPr>
        <w:spacing w:line="360" w:lineRule="auto"/>
        <w:rPr>
          <w:b/>
          <w:bCs/>
        </w:rPr>
      </w:pPr>
      <w:r w:rsidRPr="003E0246">
        <w:rPr>
          <w:b/>
          <w:bCs/>
        </w:rPr>
        <w:t>BACKGROUND OF THE STUDY</w:t>
      </w:r>
    </w:p>
    <w:p w14:paraId="0E8F0CBF" w14:textId="20E8ADE4" w:rsidR="003E0246" w:rsidRPr="003E0246" w:rsidRDefault="003E0246" w:rsidP="003E0246">
      <w:pPr>
        <w:spacing w:line="360" w:lineRule="auto"/>
      </w:pPr>
      <w:r w:rsidRPr="003E0246">
        <w:t>Secure communication has become an indispensable element of modern organisational operations, ensuring that sensitive information remains confidential, integral, and accessible only to authorised parties. Corporate sectors such as healthcare, finance, legal services, and research-intensive organisations are bound by ethical imperatives and regulatory requirements</w:t>
      </w:r>
      <w:r>
        <w:t xml:space="preserve"> </w:t>
      </w:r>
      <w:r w:rsidRPr="003E0246">
        <w:t>for example HIPAA, GDPR, and PDPA</w:t>
      </w:r>
      <w:r>
        <w:t xml:space="preserve"> </w:t>
      </w:r>
      <w:r w:rsidRPr="003E0246">
        <w:t>to protect data against unauthorised access. The rapid digitalisation of workflows has increased reliance on instant messaging platforms for day-to-day collaboration, yet this shift has amplified the attack surface for cyber adversaries and highlighted weaknesses in authentication, metadata exposure, and long-term cryptographic assurance.</w:t>
      </w:r>
    </w:p>
    <w:p w14:paraId="30B4ACC6" w14:textId="7B07A6A4" w:rsidR="003E0246" w:rsidRPr="003E0246" w:rsidRDefault="003E0246" w:rsidP="003E0246">
      <w:pPr>
        <w:spacing w:line="360" w:lineRule="auto"/>
      </w:pPr>
      <w:r w:rsidRPr="003E0246">
        <w:rPr>
          <w:b/>
          <w:bCs/>
        </w:rPr>
        <w:t>Current methods.</w:t>
      </w:r>
      <w:r w:rsidRPr="003E0246">
        <w:br/>
        <w:t>Today’s secure messaging systems (e.g., Signal, WhatsApp, Telegram) predominantly implement end-to-end encryption (E2EE) using classical public-key cryptography (RSA, Diffie–Hellman, elliptic-curve schemes). Authentication commonly depends on personal identifiers (phone numbers, email addresses) tied to centralised account databases. While these systems provide practical benefits simple onboarding, mature protocols, and strong usability</w:t>
      </w:r>
      <w:r>
        <w:t>,</w:t>
      </w:r>
      <w:r w:rsidRPr="003E0246">
        <w:t xml:space="preserve"> they exhibit important disadvantages:</w:t>
      </w:r>
    </w:p>
    <w:p w14:paraId="1E54FB67" w14:textId="1BD5F609" w:rsidR="003E0246" w:rsidRPr="003E0246" w:rsidRDefault="003E0246" w:rsidP="003E0246">
      <w:pPr>
        <w:numPr>
          <w:ilvl w:val="0"/>
          <w:numId w:val="11"/>
        </w:numPr>
        <w:spacing w:line="360" w:lineRule="auto"/>
      </w:pPr>
      <w:r w:rsidRPr="003E0246">
        <w:rPr>
          <w:b/>
          <w:bCs/>
        </w:rPr>
        <w:t>Privacy risk</w:t>
      </w:r>
      <w:r>
        <w:t>:</w:t>
      </w:r>
      <w:r w:rsidRPr="003E0246">
        <w:t xml:space="preserve"> persistent storage of personal identifiers and contact graphs creates exploitable data silos and enables profiling.</w:t>
      </w:r>
    </w:p>
    <w:p w14:paraId="3D3D5F3B" w14:textId="7C63CDAA" w:rsidR="003E0246" w:rsidRPr="003E0246" w:rsidRDefault="003E0246" w:rsidP="003E0246">
      <w:pPr>
        <w:numPr>
          <w:ilvl w:val="0"/>
          <w:numId w:val="11"/>
        </w:numPr>
        <w:spacing w:line="360" w:lineRule="auto"/>
      </w:pPr>
      <w:r w:rsidRPr="003E0246">
        <w:rPr>
          <w:b/>
          <w:bCs/>
        </w:rPr>
        <w:t>Centralisation</w:t>
      </w:r>
      <w:r w:rsidRPr="003E0246">
        <w:t>:</w:t>
      </w:r>
      <w:r w:rsidRPr="003E0246">
        <w:t xml:space="preserve"> central service providers create single points of failure and concentrated targets for attack or compelled disclosure.</w:t>
      </w:r>
    </w:p>
    <w:p w14:paraId="767B38D7" w14:textId="7A4C73BC" w:rsidR="003E0246" w:rsidRPr="003E0246" w:rsidRDefault="003E0246" w:rsidP="003E0246">
      <w:pPr>
        <w:numPr>
          <w:ilvl w:val="0"/>
          <w:numId w:val="11"/>
        </w:numPr>
        <w:spacing w:line="360" w:lineRule="auto"/>
      </w:pPr>
      <w:r w:rsidRPr="003E0246">
        <w:rPr>
          <w:b/>
          <w:bCs/>
        </w:rPr>
        <w:t>Quantum vulnerability</w:t>
      </w:r>
      <w:r>
        <w:t>:</w:t>
      </w:r>
      <w:r w:rsidRPr="003E0246">
        <w:t xml:space="preserve"> classical public-key algorithms are theoretically breakable by sufficiently capable quantum computers, introducing a “harvest now, decrypt later” threat to archived communications.</w:t>
      </w:r>
    </w:p>
    <w:p w14:paraId="70408B36" w14:textId="77777777" w:rsidR="003E0246" w:rsidRPr="003E0246" w:rsidRDefault="003E0246" w:rsidP="003E0246">
      <w:pPr>
        <w:spacing w:line="360" w:lineRule="auto"/>
      </w:pPr>
      <w:r w:rsidRPr="003E0246">
        <w:rPr>
          <w:b/>
          <w:bCs/>
        </w:rPr>
        <w:t>Emerging approaches.</w:t>
      </w:r>
      <w:r w:rsidRPr="003E0246">
        <w:br/>
        <w:t>Recent cryptographic research suggests complementary solutions:</w:t>
      </w:r>
    </w:p>
    <w:p w14:paraId="7729813D" w14:textId="77777777" w:rsidR="003E0246" w:rsidRPr="003E0246" w:rsidRDefault="003E0246" w:rsidP="003E0246">
      <w:pPr>
        <w:numPr>
          <w:ilvl w:val="0"/>
          <w:numId w:val="12"/>
        </w:numPr>
        <w:spacing w:line="360" w:lineRule="auto"/>
      </w:pPr>
      <w:r w:rsidRPr="003E0246">
        <w:rPr>
          <w:b/>
          <w:bCs/>
        </w:rPr>
        <w:t>Zero-Knowledge Proofs (ZKPs)</w:t>
      </w:r>
      <w:r w:rsidRPr="003E0246">
        <w:t xml:space="preserve"> enable proof of membership or attribute possession without revealing the underlying identifier or secret, allowing organisations to verify authorised users while minimising exposed personal data.</w:t>
      </w:r>
    </w:p>
    <w:p w14:paraId="0E4FED49" w14:textId="77777777" w:rsidR="003E0246" w:rsidRPr="003E0246" w:rsidRDefault="003E0246" w:rsidP="003E0246">
      <w:pPr>
        <w:numPr>
          <w:ilvl w:val="0"/>
          <w:numId w:val="12"/>
        </w:numPr>
        <w:spacing w:line="360" w:lineRule="auto"/>
      </w:pPr>
      <w:r w:rsidRPr="003E0246">
        <w:rPr>
          <w:b/>
          <w:bCs/>
        </w:rPr>
        <w:lastRenderedPageBreak/>
        <w:t>Post-Quantum Cryptography (PQC)</w:t>
      </w:r>
      <w:r w:rsidRPr="003E0246">
        <w:t xml:space="preserve"> comprises algorithm families (lattice-, hash-, code-, multivariate-, isogeny-based) designed to withstand quantum attacks; hybrid transition patterns are recommended to balance security and performance.</w:t>
      </w:r>
    </w:p>
    <w:p w14:paraId="795CB78F" w14:textId="4838F856" w:rsidR="003E0246" w:rsidRPr="003E0246" w:rsidRDefault="003E0246" w:rsidP="003E0246">
      <w:pPr>
        <w:numPr>
          <w:ilvl w:val="0"/>
          <w:numId w:val="12"/>
        </w:numPr>
        <w:spacing w:line="360" w:lineRule="auto"/>
      </w:pPr>
      <w:r w:rsidRPr="003E0246">
        <w:rPr>
          <w:b/>
          <w:bCs/>
        </w:rPr>
        <w:t>Permissioned blockchains for attestations</w:t>
      </w:r>
      <w:r w:rsidRPr="003E0246">
        <w:t xml:space="preserve"> can act as tamper-evident registries by recording compact, non-identifying attestations (for example cryptographic commitments, hashes, or transaction IDs) of successful ZKP registrations or authentication events. When used </w:t>
      </w:r>
      <w:r w:rsidRPr="003E0246">
        <w:rPr>
          <w:b/>
          <w:bCs/>
        </w:rPr>
        <w:t>only</w:t>
      </w:r>
      <w:r w:rsidRPr="003E0246">
        <w:t xml:space="preserve"> for registration and authentication attestations (and not for message storage), this pattern offers verifiable SSO/audit capabilities while limiting ledger growth and privacy risks but introduces trade-offs (authentication latency, ledger retention/permanence, and potential </w:t>
      </w:r>
      <w:proofErr w:type="spellStart"/>
      <w:r w:rsidRPr="003E0246">
        <w:t>linkability</w:t>
      </w:r>
      <w:proofErr w:type="spellEnd"/>
      <w:r w:rsidRPr="003E0246">
        <w:t>) that must be carefully designed and evaluated</w:t>
      </w:r>
    </w:p>
    <w:p w14:paraId="07564D12" w14:textId="77777777" w:rsidR="003E0246" w:rsidRPr="003E0246" w:rsidRDefault="003E0246" w:rsidP="003E0246">
      <w:pPr>
        <w:spacing w:line="360" w:lineRule="auto"/>
      </w:pPr>
      <w:r w:rsidRPr="003E0246">
        <w:rPr>
          <w:b/>
          <w:bCs/>
        </w:rPr>
        <w:t>Advantages of integrating ZKP, PQC and on-chain attestations.</w:t>
      </w:r>
    </w:p>
    <w:p w14:paraId="14D75DF8" w14:textId="77777777" w:rsidR="003E0246" w:rsidRPr="003E0246" w:rsidRDefault="003E0246" w:rsidP="003E0246">
      <w:pPr>
        <w:numPr>
          <w:ilvl w:val="0"/>
          <w:numId w:val="13"/>
        </w:numPr>
        <w:spacing w:line="360" w:lineRule="auto"/>
      </w:pPr>
      <w:r w:rsidRPr="003E0246">
        <w:rPr>
          <w:b/>
          <w:bCs/>
        </w:rPr>
        <w:t>Privacy preservation:</w:t>
      </w:r>
      <w:r w:rsidRPr="003E0246">
        <w:t xml:space="preserve"> users can be authenticated without storing personal identifiers.</w:t>
      </w:r>
    </w:p>
    <w:p w14:paraId="253CAFF0" w14:textId="77777777" w:rsidR="003E0246" w:rsidRPr="003E0246" w:rsidRDefault="003E0246" w:rsidP="003E0246">
      <w:pPr>
        <w:numPr>
          <w:ilvl w:val="0"/>
          <w:numId w:val="13"/>
        </w:numPr>
        <w:spacing w:line="360" w:lineRule="auto"/>
      </w:pPr>
      <w:r w:rsidRPr="003E0246">
        <w:rPr>
          <w:b/>
          <w:bCs/>
        </w:rPr>
        <w:t>Quantum resistance:</w:t>
      </w:r>
      <w:r w:rsidRPr="003E0246">
        <w:t xml:space="preserve"> PQC provides resilience against future quantum adversaries.</w:t>
      </w:r>
    </w:p>
    <w:p w14:paraId="2436508C" w14:textId="77777777" w:rsidR="003E0246" w:rsidRPr="003E0246" w:rsidRDefault="003E0246" w:rsidP="003E0246">
      <w:pPr>
        <w:numPr>
          <w:ilvl w:val="0"/>
          <w:numId w:val="13"/>
        </w:numPr>
        <w:spacing w:line="360" w:lineRule="auto"/>
      </w:pPr>
      <w:r w:rsidRPr="003E0246">
        <w:rPr>
          <w:b/>
          <w:bCs/>
        </w:rPr>
        <w:t>Verifiable auditability:</w:t>
      </w:r>
      <w:r w:rsidRPr="003E0246">
        <w:t xml:space="preserve"> permissioned on-chain attestations supply tamper-evident proof of registration/authentication when designed as compact commitments.</w:t>
      </w:r>
    </w:p>
    <w:p w14:paraId="52BCD3D7" w14:textId="77777777" w:rsidR="003E0246" w:rsidRPr="003E0246" w:rsidRDefault="003E0246" w:rsidP="003E0246">
      <w:pPr>
        <w:numPr>
          <w:ilvl w:val="0"/>
          <w:numId w:val="13"/>
        </w:numPr>
        <w:spacing w:line="360" w:lineRule="auto"/>
      </w:pPr>
      <w:r w:rsidRPr="003E0246">
        <w:rPr>
          <w:b/>
          <w:bCs/>
        </w:rPr>
        <w:t>Crypto-agility:</w:t>
      </w:r>
      <w:r w:rsidRPr="003E0246">
        <w:t xml:space="preserve"> modular, swappable cryptographic design enables future upgrades.</w:t>
      </w:r>
    </w:p>
    <w:p w14:paraId="3117B5CC" w14:textId="77777777" w:rsidR="003E0246" w:rsidRPr="003E0246" w:rsidRDefault="003E0246" w:rsidP="003E0246">
      <w:pPr>
        <w:spacing w:line="360" w:lineRule="auto"/>
      </w:pPr>
      <w:r w:rsidRPr="003E0246">
        <w:rPr>
          <w:b/>
          <w:bCs/>
        </w:rPr>
        <w:t>Challenges and limitations.</w:t>
      </w:r>
    </w:p>
    <w:p w14:paraId="75A63304" w14:textId="77777777" w:rsidR="003E0246" w:rsidRPr="003E0246" w:rsidRDefault="003E0246" w:rsidP="003E0246">
      <w:pPr>
        <w:numPr>
          <w:ilvl w:val="0"/>
          <w:numId w:val="14"/>
        </w:numPr>
        <w:spacing w:line="360" w:lineRule="auto"/>
      </w:pPr>
      <w:r w:rsidRPr="003E0246">
        <w:rPr>
          <w:b/>
          <w:bCs/>
        </w:rPr>
        <w:t>Performance overhead:</w:t>
      </w:r>
      <w:r w:rsidRPr="003E0246">
        <w:t xml:space="preserve"> ZKP prove/verify operations and PQC key exchanges can increase client CPU use, latency, and message size; on-chain attestations add transaction latency and ledger storage overhead.</w:t>
      </w:r>
    </w:p>
    <w:p w14:paraId="04000D7A" w14:textId="77777777" w:rsidR="003E0246" w:rsidRPr="003E0246" w:rsidRDefault="003E0246" w:rsidP="003E0246">
      <w:pPr>
        <w:numPr>
          <w:ilvl w:val="0"/>
          <w:numId w:val="14"/>
        </w:numPr>
        <w:spacing w:line="360" w:lineRule="auto"/>
      </w:pPr>
      <w:r w:rsidRPr="003E0246">
        <w:rPr>
          <w:b/>
          <w:bCs/>
        </w:rPr>
        <w:t>Privacy/permanence trade-offs:</w:t>
      </w:r>
      <w:r w:rsidRPr="003E0246">
        <w:t xml:space="preserve"> even compact on-chain commitments must be structured to avoid </w:t>
      </w:r>
      <w:proofErr w:type="spellStart"/>
      <w:r w:rsidRPr="003E0246">
        <w:t>linkability</w:t>
      </w:r>
      <w:proofErr w:type="spellEnd"/>
      <w:r w:rsidRPr="003E0246">
        <w:t xml:space="preserve"> and to meet retention/erasure requirements.</w:t>
      </w:r>
    </w:p>
    <w:p w14:paraId="1111BFE3" w14:textId="77777777" w:rsidR="003E0246" w:rsidRPr="003E0246" w:rsidRDefault="003E0246" w:rsidP="003E0246">
      <w:pPr>
        <w:numPr>
          <w:ilvl w:val="0"/>
          <w:numId w:val="14"/>
        </w:numPr>
        <w:spacing w:line="360" w:lineRule="auto"/>
      </w:pPr>
      <w:r w:rsidRPr="003E0246">
        <w:rPr>
          <w:b/>
          <w:bCs/>
        </w:rPr>
        <w:t>Implementation complexity and usability:</w:t>
      </w:r>
      <w:r w:rsidRPr="003E0246">
        <w:t xml:space="preserve"> integrating ZKP, PQC, permissioned blockchain, and SSO requires careful engineering and attention to usability and developer APIs.</w:t>
      </w:r>
    </w:p>
    <w:p w14:paraId="70FB34A3" w14:textId="77777777" w:rsidR="003E0246" w:rsidRPr="003E0246" w:rsidRDefault="003E0246" w:rsidP="003E0246">
      <w:pPr>
        <w:spacing w:line="360" w:lineRule="auto"/>
      </w:pPr>
      <w:r w:rsidRPr="003E0246">
        <w:t xml:space="preserve">Given these factors, a clear research gap exists: there is limited published work presenting a deployable corporate messaging prototype that combines </w:t>
      </w:r>
      <w:r w:rsidRPr="003E0246">
        <w:rPr>
          <w:b/>
          <w:bCs/>
        </w:rPr>
        <w:t>ZKP-based membership registration/authentication (with on-chain attestations only at reg/auth)</w:t>
      </w:r>
      <w:r w:rsidRPr="003E0246">
        <w:t xml:space="preserve">, </w:t>
      </w:r>
      <w:r w:rsidRPr="003E0246">
        <w:rPr>
          <w:b/>
          <w:bCs/>
        </w:rPr>
        <w:t xml:space="preserve">PQC-protected </w:t>
      </w:r>
      <w:r w:rsidRPr="003E0246">
        <w:rPr>
          <w:b/>
          <w:bCs/>
        </w:rPr>
        <w:lastRenderedPageBreak/>
        <w:t>off-chain messaging</w:t>
      </w:r>
      <w:r w:rsidRPr="003E0246">
        <w:t>, and a measured evaluation of the practical trade-offs. This project will design, implement and evaluate such a prototype for corporate internal use.</w:t>
      </w:r>
    </w:p>
    <w:p w14:paraId="701F54DC" w14:textId="74FAE720" w:rsidR="003E0246" w:rsidRPr="003E0246" w:rsidRDefault="003E0246" w:rsidP="003E0246">
      <w:pPr>
        <w:spacing w:line="360" w:lineRule="auto"/>
      </w:pPr>
    </w:p>
    <w:p w14:paraId="7D0781AA" w14:textId="77777777" w:rsidR="003E0246" w:rsidRPr="003E0246" w:rsidRDefault="003E0246" w:rsidP="003E0246">
      <w:pPr>
        <w:spacing w:line="360" w:lineRule="auto"/>
        <w:rPr>
          <w:b/>
          <w:bCs/>
        </w:rPr>
      </w:pPr>
      <w:r w:rsidRPr="003E0246">
        <w:rPr>
          <w:b/>
          <w:bCs/>
        </w:rPr>
        <w:t>PROBLEM STATEMENT</w:t>
      </w:r>
    </w:p>
    <w:p w14:paraId="24065FCE" w14:textId="77777777" w:rsidR="003E0246" w:rsidRPr="003E0246" w:rsidRDefault="003E0246" w:rsidP="003E0246">
      <w:pPr>
        <w:spacing w:line="360" w:lineRule="auto"/>
      </w:pPr>
      <w:r w:rsidRPr="003E0246">
        <w:t>Despite advancements in secure messaging technologies, current organisational communication systems present several limitations that undermine privacy, resilience and long-term confidentiality. The following problems have been identified:</w:t>
      </w:r>
    </w:p>
    <w:p w14:paraId="23961DDB" w14:textId="77777777" w:rsidR="003E0246" w:rsidRPr="003E0246" w:rsidRDefault="003E0246" w:rsidP="003E0246">
      <w:pPr>
        <w:numPr>
          <w:ilvl w:val="0"/>
          <w:numId w:val="15"/>
        </w:numPr>
        <w:spacing w:line="360" w:lineRule="auto"/>
      </w:pPr>
      <w:r w:rsidRPr="003E0246">
        <w:rPr>
          <w:b/>
          <w:bCs/>
        </w:rPr>
        <w:t>Dependence on personal identifiers for authentication.</w:t>
      </w:r>
      <w:r w:rsidRPr="003E0246">
        <w:t xml:space="preserve"> Many messaging platforms require phone numbers or email addresses for account creation and verification. Storing these identifiers exposes organisations to data-breach risks and conflicts with privacy-by-design principles and regulatory obligations (e.g., GDPR, PDPA).</w:t>
      </w:r>
    </w:p>
    <w:p w14:paraId="510420FE" w14:textId="77777777" w:rsidR="003E0246" w:rsidRPr="003E0246" w:rsidRDefault="003E0246" w:rsidP="003E0246">
      <w:pPr>
        <w:numPr>
          <w:ilvl w:val="0"/>
          <w:numId w:val="15"/>
        </w:numPr>
        <w:spacing w:line="360" w:lineRule="auto"/>
      </w:pPr>
      <w:r w:rsidRPr="003E0246">
        <w:rPr>
          <w:b/>
          <w:bCs/>
        </w:rPr>
        <w:t>Vulnerability to quantum computing threats.</w:t>
      </w:r>
      <w:r w:rsidRPr="003E0246">
        <w:t xml:space="preserve"> Widely used public-key algorithms (RSA, ECC) are theoretically vulnerable to sufficiently powerful quantum attacks, enabling adversaries to harvest encrypted traffic today and decrypt it in the future.</w:t>
      </w:r>
    </w:p>
    <w:p w14:paraId="26728039" w14:textId="77777777" w:rsidR="003E0246" w:rsidRPr="003E0246" w:rsidRDefault="003E0246" w:rsidP="003E0246">
      <w:pPr>
        <w:numPr>
          <w:ilvl w:val="0"/>
          <w:numId w:val="15"/>
        </w:numPr>
        <w:spacing w:line="360" w:lineRule="auto"/>
      </w:pPr>
      <w:r w:rsidRPr="003E0246">
        <w:rPr>
          <w:b/>
          <w:bCs/>
        </w:rPr>
        <w:t>Centralised architectural weaknesses.</w:t>
      </w:r>
      <w:r w:rsidRPr="003E0246">
        <w:t xml:space="preserve"> Centralised providers concentrate metadata and control, creating single points of failure and high-value targets for attacks or compelled access.</w:t>
      </w:r>
    </w:p>
    <w:p w14:paraId="11ADDD48" w14:textId="77777777" w:rsidR="003E0246" w:rsidRPr="003E0246" w:rsidRDefault="003E0246" w:rsidP="003E0246">
      <w:pPr>
        <w:numPr>
          <w:ilvl w:val="0"/>
          <w:numId w:val="15"/>
        </w:numPr>
        <w:spacing w:line="360" w:lineRule="auto"/>
      </w:pPr>
      <w:r w:rsidRPr="003E0246">
        <w:rPr>
          <w:b/>
          <w:bCs/>
        </w:rPr>
        <w:t>Limited integration of advanced privacy and long-term security techniques.</w:t>
      </w:r>
      <w:r w:rsidRPr="003E0246">
        <w:t xml:space="preserve"> Although ZKPs and PQC are maturing in research, there is a notable lack of deployable messaging systems that integrate privacy-preserving membership proofs with quantum-resistant messaging in enterprise workflows.</w:t>
      </w:r>
    </w:p>
    <w:p w14:paraId="560ECD13" w14:textId="77777777" w:rsidR="003E0246" w:rsidRPr="003E0246" w:rsidRDefault="003E0246" w:rsidP="003E0246">
      <w:pPr>
        <w:numPr>
          <w:ilvl w:val="0"/>
          <w:numId w:val="15"/>
        </w:numPr>
        <w:spacing w:line="360" w:lineRule="auto"/>
      </w:pPr>
      <w:r w:rsidRPr="003E0246">
        <w:rPr>
          <w:b/>
          <w:bCs/>
        </w:rPr>
        <w:t>Unexplored trade-offs of on-chain attestations for registration and authentication.</w:t>
      </w:r>
      <w:r w:rsidRPr="003E0246">
        <w:t xml:space="preserve"> Using a permissioned blockchain to store ZKP attestations (commitments/hashes/</w:t>
      </w:r>
      <w:proofErr w:type="spellStart"/>
      <w:r w:rsidRPr="003E0246">
        <w:t>tx</w:t>
      </w:r>
      <w:proofErr w:type="spellEnd"/>
      <w:r w:rsidRPr="003E0246">
        <w:t xml:space="preserve"> IDs) can provide verifiable audit trails and SSO integration, but it raises questions about authentication latency, ledger growth, permanence, TTL/revocation semantics, and the risk of </w:t>
      </w:r>
      <w:proofErr w:type="spellStart"/>
      <w:r w:rsidRPr="003E0246">
        <w:t>linkability</w:t>
      </w:r>
      <w:proofErr w:type="spellEnd"/>
      <w:r w:rsidRPr="003E0246">
        <w:t xml:space="preserve"> if attestations are poorly designed. These trade-offs have not been comprehensively evaluated for corporate messaging scenarios.</w:t>
      </w:r>
    </w:p>
    <w:p w14:paraId="10DE3B68" w14:textId="77777777" w:rsidR="003E0246" w:rsidRPr="003E0246" w:rsidRDefault="003E0246" w:rsidP="003E0246">
      <w:pPr>
        <w:spacing w:line="360" w:lineRule="auto"/>
      </w:pPr>
      <w:r w:rsidRPr="003E0246">
        <w:t xml:space="preserve">Collectively, these issues call for a solution that authenticates users without storing personal identifiers, protects message confidentiality against present and future cryptographic threats, and provides auditable registration/authentication attestations via a permissioned ledger — </w:t>
      </w:r>
      <w:r w:rsidRPr="003E0246">
        <w:lastRenderedPageBreak/>
        <w:t>while carefully evaluating and mitigating the practical trade-offs introduced by on-chain storage.</w:t>
      </w:r>
    </w:p>
    <w:p w14:paraId="3899AEAB" w14:textId="4C9BC831" w:rsidR="003E0246" w:rsidRPr="003E0246" w:rsidRDefault="003E0246" w:rsidP="003E0246">
      <w:pPr>
        <w:spacing w:line="360" w:lineRule="auto"/>
      </w:pPr>
    </w:p>
    <w:p w14:paraId="7ACE9E33" w14:textId="77777777" w:rsidR="003E0246" w:rsidRPr="003E0246" w:rsidRDefault="003E0246" w:rsidP="003E0246">
      <w:pPr>
        <w:spacing w:line="360" w:lineRule="auto"/>
        <w:rPr>
          <w:b/>
          <w:bCs/>
        </w:rPr>
      </w:pPr>
      <w:r w:rsidRPr="003E0246">
        <w:rPr>
          <w:b/>
          <w:bCs/>
        </w:rPr>
        <w:t>OBJECTIVES</w:t>
      </w:r>
    </w:p>
    <w:p w14:paraId="639800B0" w14:textId="77777777" w:rsidR="003E0246" w:rsidRPr="003E0246" w:rsidRDefault="003E0246" w:rsidP="003E0246">
      <w:pPr>
        <w:spacing w:line="360" w:lineRule="auto"/>
      </w:pPr>
      <w:r w:rsidRPr="003E0246">
        <w:rPr>
          <w:b/>
          <w:bCs/>
        </w:rPr>
        <w:t>To study the current landscape of secure messaging and authentication</w:t>
      </w:r>
      <w:r w:rsidRPr="003E0246">
        <w:br/>
        <w:t xml:space="preserve">Analyse commercial and academic messaging systems, identity providers, and federated architectures; review peer-reviewed literature and industry standards (e.g., NIST PQC guidance). Particular attention will be given to confidentiality risks from personal identifiers and metadata, the feasibility and trade-offs of PQC for messaging, and design options for </w:t>
      </w:r>
      <w:r w:rsidRPr="003E0246">
        <w:rPr>
          <w:b/>
          <w:bCs/>
        </w:rPr>
        <w:t>on-chain</w:t>
      </w:r>
      <w:r w:rsidRPr="003E0246">
        <w:t xml:space="preserve"> registration/authentication attestations (full proof vs commitment/hash vs </w:t>
      </w:r>
      <w:proofErr w:type="spellStart"/>
      <w:r w:rsidRPr="003E0246">
        <w:t>tx</w:t>
      </w:r>
      <w:proofErr w:type="spellEnd"/>
      <w:r w:rsidRPr="003E0246">
        <w:t xml:space="preserve"> ID), including privacy and legal/retention implications.</w:t>
      </w:r>
    </w:p>
    <w:p w14:paraId="595F4B02" w14:textId="77777777" w:rsidR="003E0246" w:rsidRPr="003E0246" w:rsidRDefault="003E0246" w:rsidP="003E0246">
      <w:pPr>
        <w:spacing w:line="360" w:lineRule="auto"/>
      </w:pPr>
      <w:r w:rsidRPr="003E0246">
        <w:rPr>
          <w:b/>
          <w:bCs/>
        </w:rPr>
        <w:t>To develop a confidentiality-focused messaging platform using ZKP, PQC and blockchain attestations (registration/auth only)</w:t>
      </w:r>
      <w:r w:rsidRPr="003E0246">
        <w:br/>
        <w:t>Design and implement a prototype in which user registration and ZKP-based membership attestations are recorded on a permissioned blockchain as compact, non-identifying commitments or transaction references; authentication validates clients against these attestations and issues short-lived JWTs for SSO. All message payloads remain off-chain and are protected by selected PQC primitives (or hybrid PQC/classical schemes) to ensure long-term confidentiality.</w:t>
      </w:r>
    </w:p>
    <w:p w14:paraId="37CD7B38" w14:textId="77777777" w:rsidR="003E0246" w:rsidRPr="003E0246" w:rsidRDefault="003E0246" w:rsidP="003E0246">
      <w:pPr>
        <w:spacing w:line="360" w:lineRule="auto"/>
      </w:pPr>
      <w:r w:rsidRPr="003E0246">
        <w:rPr>
          <w:b/>
          <w:bCs/>
        </w:rPr>
        <w:t>To test and evaluate the developed prototype</w:t>
      </w:r>
      <w:r w:rsidRPr="003E0246">
        <w:br/>
        <w:t xml:space="preserve">Validate functional correctness of the ZKP registration/auth flow and PQC messaging; perform security assessments (threat modelling, </w:t>
      </w:r>
      <w:proofErr w:type="spellStart"/>
      <w:r w:rsidRPr="003E0246">
        <w:t>linkability</w:t>
      </w:r>
      <w:proofErr w:type="spellEnd"/>
      <w:r w:rsidRPr="003E0246">
        <w:t>/privacy analysis, cryptographic misuse checks, and penetration testing); and benchmark key performance metrics (authentication latency — proof generation + on-chain commit/confirmation, PQC handshake latency, CPU/memory usage, message size overhead, and ledger storage growth) against a traditional E2EE baseline to quantify trade-offs and guide optimisation.</w:t>
      </w:r>
    </w:p>
    <w:p w14:paraId="60FCF7F9" w14:textId="77777777" w:rsidR="003E0246" w:rsidRPr="003E0246" w:rsidRDefault="003E0246" w:rsidP="003E0246">
      <w:pPr>
        <w:spacing w:line="360" w:lineRule="auto"/>
      </w:pPr>
      <w:r w:rsidRPr="003E0246">
        <w:pict w14:anchorId="6D7186DB">
          <v:rect id="_x0000_i1071" style="width:0;height:1.5pt" o:hralign="center" o:hrstd="t" o:hr="t" fillcolor="#a0a0a0" stroked="f"/>
        </w:pict>
      </w:r>
    </w:p>
    <w:p w14:paraId="63C1E31F" w14:textId="77777777" w:rsidR="003E0246" w:rsidRPr="003E0246" w:rsidRDefault="003E0246" w:rsidP="003E0246">
      <w:pPr>
        <w:spacing w:line="360" w:lineRule="auto"/>
        <w:rPr>
          <w:b/>
          <w:bCs/>
        </w:rPr>
      </w:pPr>
      <w:r w:rsidRPr="003E0246">
        <w:rPr>
          <w:b/>
          <w:bCs/>
        </w:rPr>
        <w:t>SCOPE</w:t>
      </w:r>
    </w:p>
    <w:p w14:paraId="20330A09" w14:textId="77777777" w:rsidR="003E0246" w:rsidRPr="003E0246" w:rsidRDefault="003E0246" w:rsidP="003E0246">
      <w:pPr>
        <w:spacing w:line="360" w:lineRule="auto"/>
      </w:pPr>
      <w:r w:rsidRPr="003E0246">
        <w:rPr>
          <w:b/>
          <w:bCs/>
        </w:rPr>
        <w:t>Target users</w:t>
      </w:r>
      <w:r w:rsidRPr="003E0246">
        <w:br/>
        <w:t xml:space="preserve">Employees and IT/security staff in corporate organisations requiring privacy-preserving, </w:t>
      </w:r>
      <w:r w:rsidRPr="003E0246">
        <w:lastRenderedPageBreak/>
        <w:t>auditable internal communications (e.g., IT departments, legal teams, healthcare providers, research groups).</w:t>
      </w:r>
    </w:p>
    <w:p w14:paraId="6114B2B7" w14:textId="77777777" w:rsidR="003E0246" w:rsidRPr="003E0246" w:rsidRDefault="003E0246" w:rsidP="003E0246">
      <w:pPr>
        <w:spacing w:line="360" w:lineRule="auto"/>
      </w:pPr>
      <w:r w:rsidRPr="003E0246">
        <w:rPr>
          <w:b/>
          <w:bCs/>
        </w:rPr>
        <w:t>System functions</w:t>
      </w:r>
    </w:p>
    <w:p w14:paraId="72190034" w14:textId="77777777" w:rsidR="003E0246" w:rsidRPr="003E0246" w:rsidRDefault="003E0246" w:rsidP="003E0246">
      <w:pPr>
        <w:numPr>
          <w:ilvl w:val="0"/>
          <w:numId w:val="16"/>
        </w:numPr>
        <w:spacing w:line="360" w:lineRule="auto"/>
      </w:pPr>
      <w:r w:rsidRPr="003E0246">
        <w:rPr>
          <w:b/>
          <w:bCs/>
        </w:rPr>
        <w:t>Registration:</w:t>
      </w:r>
      <w:r w:rsidRPr="003E0246">
        <w:t xml:space="preserve"> ZKP-based registration where compact attestations (commitments/hashes or </w:t>
      </w:r>
      <w:proofErr w:type="spellStart"/>
      <w:r w:rsidRPr="003E0246">
        <w:t>tx</w:t>
      </w:r>
      <w:proofErr w:type="spellEnd"/>
      <w:r w:rsidRPr="003E0246">
        <w:t xml:space="preserve"> IDs) are recorded on a permissioned blockchain.</w:t>
      </w:r>
    </w:p>
    <w:p w14:paraId="4429B00B" w14:textId="77777777" w:rsidR="003E0246" w:rsidRPr="003E0246" w:rsidRDefault="003E0246" w:rsidP="003E0246">
      <w:pPr>
        <w:numPr>
          <w:ilvl w:val="0"/>
          <w:numId w:val="16"/>
        </w:numPr>
        <w:spacing w:line="360" w:lineRule="auto"/>
      </w:pPr>
      <w:r w:rsidRPr="003E0246">
        <w:rPr>
          <w:b/>
          <w:bCs/>
        </w:rPr>
        <w:t>Authentication:</w:t>
      </w:r>
      <w:r w:rsidRPr="003E0246">
        <w:t xml:space="preserve"> Membership verification at login by validating client proofs against on-chain attestations; issuance of short-lived JWTs referencing attestation </w:t>
      </w:r>
      <w:proofErr w:type="spellStart"/>
      <w:r w:rsidRPr="003E0246">
        <w:t>tx</w:t>
      </w:r>
      <w:proofErr w:type="spellEnd"/>
      <w:r w:rsidRPr="003E0246">
        <w:t xml:space="preserve"> IDs.</w:t>
      </w:r>
    </w:p>
    <w:p w14:paraId="0E53783B" w14:textId="77777777" w:rsidR="003E0246" w:rsidRPr="003E0246" w:rsidRDefault="003E0246" w:rsidP="003E0246">
      <w:pPr>
        <w:numPr>
          <w:ilvl w:val="0"/>
          <w:numId w:val="16"/>
        </w:numPr>
        <w:spacing w:line="360" w:lineRule="auto"/>
      </w:pPr>
      <w:r w:rsidRPr="003E0246">
        <w:rPr>
          <w:b/>
          <w:bCs/>
        </w:rPr>
        <w:t>Messaging:</w:t>
      </w:r>
      <w:r w:rsidRPr="003E0246">
        <w:t xml:space="preserve"> One-to-one and group messaging performed </w:t>
      </w:r>
      <w:r w:rsidRPr="003E0246">
        <w:rPr>
          <w:b/>
          <w:bCs/>
        </w:rPr>
        <w:t>off-chain</w:t>
      </w:r>
      <w:r w:rsidRPr="003E0246">
        <w:t>, protected by PQC (or hybrid) end-to-end encryption. No message content or message metadata is written to the ledger.</w:t>
      </w:r>
    </w:p>
    <w:p w14:paraId="333827EE" w14:textId="77777777" w:rsidR="003E0246" w:rsidRPr="003E0246" w:rsidRDefault="003E0246" w:rsidP="003E0246">
      <w:pPr>
        <w:numPr>
          <w:ilvl w:val="0"/>
          <w:numId w:val="16"/>
        </w:numPr>
        <w:spacing w:line="360" w:lineRule="auto"/>
      </w:pPr>
      <w:r w:rsidRPr="003E0246">
        <w:rPr>
          <w:b/>
          <w:bCs/>
        </w:rPr>
        <w:t>Administration/audit:</w:t>
      </w:r>
      <w:r w:rsidRPr="003E0246">
        <w:t xml:space="preserve"> Admin interfaces to verify on-chain attestations and revoke/mark attestations as needed, without disclosing personal identifiers.</w:t>
      </w:r>
    </w:p>
    <w:p w14:paraId="0C60ADA8" w14:textId="77777777" w:rsidR="003E0246" w:rsidRPr="003E0246" w:rsidRDefault="003E0246" w:rsidP="003E0246">
      <w:pPr>
        <w:spacing w:line="360" w:lineRule="auto"/>
      </w:pPr>
      <w:r w:rsidRPr="003E0246">
        <w:rPr>
          <w:b/>
          <w:bCs/>
        </w:rPr>
        <w:t>Platform</w:t>
      </w:r>
      <w:r w:rsidRPr="003E0246">
        <w:br/>
        <w:t xml:space="preserve">Web-based client (modern browsers) and server prototype components; a permissioned blockchain (e.g., Hyperledger Fabric or private Ethereum </w:t>
      </w:r>
      <w:proofErr w:type="spellStart"/>
      <w:r w:rsidRPr="003E0246">
        <w:t>testnet</w:t>
      </w:r>
      <w:proofErr w:type="spellEnd"/>
      <w:r w:rsidRPr="003E0246">
        <w:t>) used exclusively for registration/auth attestations; cloud/VM nodes for benchmarking and client machines for realistic performance measurements.</w:t>
      </w:r>
    </w:p>
    <w:p w14:paraId="73F2B17D" w14:textId="77777777" w:rsidR="003E0246" w:rsidRPr="003E0246" w:rsidRDefault="003E0246" w:rsidP="003E0246">
      <w:pPr>
        <w:spacing w:line="360" w:lineRule="auto"/>
      </w:pPr>
      <w:r w:rsidRPr="003E0246">
        <w:pict w14:anchorId="374F7067">
          <v:rect id="_x0000_i1072" style="width:0;height:1.5pt" o:hralign="center" o:hrstd="t" o:hr="t" fillcolor="#a0a0a0" stroked="f"/>
        </w:pict>
      </w:r>
    </w:p>
    <w:p w14:paraId="408FEFBD" w14:textId="77777777" w:rsidR="003E0246" w:rsidRPr="003E0246" w:rsidRDefault="003E0246" w:rsidP="003E0246">
      <w:pPr>
        <w:spacing w:line="360" w:lineRule="auto"/>
        <w:rPr>
          <w:b/>
          <w:bCs/>
        </w:rPr>
      </w:pPr>
      <w:r w:rsidRPr="003E0246">
        <w:rPr>
          <w:b/>
          <w:bCs/>
        </w:rPr>
        <w:t>SIGNIFICANCE OF THE PROJECT</w:t>
      </w:r>
    </w:p>
    <w:p w14:paraId="6CECEBB7" w14:textId="77777777" w:rsidR="003E0246" w:rsidRPr="003E0246" w:rsidRDefault="003E0246" w:rsidP="003E0246">
      <w:pPr>
        <w:spacing w:line="360" w:lineRule="auto"/>
      </w:pPr>
      <w:r w:rsidRPr="003E0246">
        <w:t>This project equips corporate organisations with a privacy-centric internal messaging solution that registers and verifies membership via Zero-Knowledge Proofs anchored as compact attestations on a permissioned blockchain (registration/auth only), while all message content remains off-chain and is protected using post-quantum cryptography — thereby reducing identity exposure, strengthening long-term message confidentiality, enabling auditable SSO and compliance evidence, and providing empirical data to guide secure deployment choices.</w:t>
      </w:r>
    </w:p>
    <w:p w14:paraId="4AD341E8" w14:textId="77777777" w:rsidR="00562A2B" w:rsidRDefault="00562A2B" w:rsidP="003E0246">
      <w:pPr>
        <w:spacing w:line="360" w:lineRule="auto"/>
      </w:pPr>
    </w:p>
    <w:p w14:paraId="5D5D0037" w14:textId="77777777" w:rsidR="003E0246" w:rsidRDefault="003E0246" w:rsidP="003E0246">
      <w:pPr>
        <w:spacing w:line="360" w:lineRule="auto"/>
      </w:pPr>
    </w:p>
    <w:p w14:paraId="0AAC204F" w14:textId="77777777" w:rsidR="003E0246" w:rsidRDefault="003E0246" w:rsidP="003E0246">
      <w:pPr>
        <w:spacing w:line="360" w:lineRule="auto"/>
      </w:pPr>
    </w:p>
    <w:p w14:paraId="6CF10A00" w14:textId="77777777" w:rsidR="003E0246" w:rsidRDefault="003E0246" w:rsidP="003E0246">
      <w:pPr>
        <w:spacing w:line="360" w:lineRule="auto"/>
      </w:pPr>
    </w:p>
    <w:p w14:paraId="4C93A320" w14:textId="77777777" w:rsidR="003E0246" w:rsidRDefault="003E0246" w:rsidP="003E0246">
      <w:pPr>
        <w:spacing w:line="360" w:lineRule="auto"/>
      </w:pPr>
    </w:p>
    <w:p w14:paraId="4BFF8AA0" w14:textId="77777777" w:rsidR="003E0246" w:rsidRDefault="003E0246" w:rsidP="003E0246">
      <w:pPr>
        <w:spacing w:line="360" w:lineRule="auto"/>
      </w:pPr>
    </w:p>
    <w:p w14:paraId="3A108EE7" w14:textId="77777777" w:rsidR="003E0246" w:rsidRDefault="003E0246" w:rsidP="003E0246">
      <w:pPr>
        <w:spacing w:line="360" w:lineRule="auto"/>
      </w:pPr>
    </w:p>
    <w:p w14:paraId="47832D2F" w14:textId="77777777" w:rsidR="003E0246" w:rsidRDefault="003E0246" w:rsidP="003E0246">
      <w:pPr>
        <w:spacing w:line="360" w:lineRule="auto"/>
      </w:pPr>
    </w:p>
    <w:p w14:paraId="783F373E" w14:textId="77777777" w:rsidR="003E0246" w:rsidRDefault="003E0246" w:rsidP="003E0246">
      <w:pPr>
        <w:spacing w:line="360" w:lineRule="auto"/>
      </w:pPr>
    </w:p>
    <w:p w14:paraId="5F91C148" w14:textId="77777777" w:rsidR="003E0246" w:rsidRDefault="003E0246" w:rsidP="003E0246">
      <w:pPr>
        <w:spacing w:line="360" w:lineRule="auto"/>
      </w:pPr>
    </w:p>
    <w:p w14:paraId="1AB1D3C0" w14:textId="77777777" w:rsidR="003E0246" w:rsidRDefault="003E0246" w:rsidP="003E0246">
      <w:pPr>
        <w:spacing w:line="360" w:lineRule="auto"/>
      </w:pPr>
    </w:p>
    <w:p w14:paraId="4BFDE8B1" w14:textId="77777777" w:rsidR="003E0246" w:rsidRDefault="003E0246" w:rsidP="003E0246">
      <w:pPr>
        <w:spacing w:line="360" w:lineRule="auto"/>
      </w:pPr>
    </w:p>
    <w:p w14:paraId="06DBC369" w14:textId="77777777" w:rsidR="003E0246" w:rsidRDefault="003E0246" w:rsidP="003E0246">
      <w:pPr>
        <w:spacing w:line="360" w:lineRule="auto"/>
      </w:pPr>
    </w:p>
    <w:p w14:paraId="037EF0DE" w14:textId="77777777" w:rsidR="003E0246" w:rsidRDefault="003E0246" w:rsidP="003E0246">
      <w:pPr>
        <w:spacing w:line="360" w:lineRule="auto"/>
        <w:sectPr w:rsidR="003E0246">
          <w:pgSz w:w="11906" w:h="16838"/>
          <w:pgMar w:top="1440" w:right="1440" w:bottom="1440" w:left="1440" w:header="720" w:footer="720" w:gutter="0"/>
          <w:cols w:space="720"/>
          <w:docGrid w:linePitch="360"/>
        </w:sectPr>
      </w:pPr>
    </w:p>
    <w:p w14:paraId="5B35B3F3" w14:textId="4E4F79F9" w:rsidR="003E0246" w:rsidRDefault="003E0246" w:rsidP="003E0246">
      <w:pPr>
        <w:spacing w:line="360" w:lineRule="auto"/>
      </w:pPr>
      <w:r w:rsidRPr="003E0246">
        <w:lastRenderedPageBreak/>
        <w:t>6. LITERATURE REVIEW</w:t>
      </w:r>
    </w:p>
    <w:p w14:paraId="0A5B49E9" w14:textId="77777777" w:rsidR="003E0246" w:rsidRDefault="003E0246" w:rsidP="003E0246">
      <w:pPr>
        <w:spacing w:line="360" w:lineRule="auto"/>
      </w:pPr>
    </w:p>
    <w:tbl>
      <w:tblPr>
        <w:tblStyle w:val="TableGrid"/>
        <w:tblW w:w="0" w:type="auto"/>
        <w:tblLook w:val="04A0" w:firstRow="1" w:lastRow="0" w:firstColumn="1" w:lastColumn="0" w:noHBand="0" w:noVBand="1"/>
      </w:tblPr>
      <w:tblGrid>
        <w:gridCol w:w="502"/>
        <w:gridCol w:w="2557"/>
        <w:gridCol w:w="2250"/>
        <w:gridCol w:w="5125"/>
        <w:gridCol w:w="3514"/>
      </w:tblGrid>
      <w:tr w:rsidR="003E0246" w:rsidRPr="003E0246" w14:paraId="427BD7AD" w14:textId="77777777" w:rsidTr="003E0246">
        <w:tc>
          <w:tcPr>
            <w:tcW w:w="0" w:type="auto"/>
            <w:hideMark/>
          </w:tcPr>
          <w:p w14:paraId="18B2112A" w14:textId="77777777" w:rsidR="003E0246" w:rsidRPr="003E0246" w:rsidRDefault="003E0246" w:rsidP="003E0246">
            <w:pPr>
              <w:spacing w:after="160" w:line="360" w:lineRule="auto"/>
              <w:rPr>
                <w:b/>
                <w:bCs/>
              </w:rPr>
            </w:pPr>
            <w:r w:rsidRPr="003E0246">
              <w:rPr>
                <w:b/>
                <w:bCs/>
              </w:rPr>
              <w:t>No</w:t>
            </w:r>
          </w:p>
        </w:tc>
        <w:tc>
          <w:tcPr>
            <w:tcW w:w="0" w:type="auto"/>
            <w:hideMark/>
          </w:tcPr>
          <w:p w14:paraId="0249455D" w14:textId="77777777" w:rsidR="003E0246" w:rsidRPr="003E0246" w:rsidRDefault="003E0246" w:rsidP="003E0246">
            <w:pPr>
              <w:spacing w:after="160" w:line="360" w:lineRule="auto"/>
              <w:rPr>
                <w:b/>
                <w:bCs/>
              </w:rPr>
            </w:pPr>
            <w:r w:rsidRPr="003E0246">
              <w:rPr>
                <w:b/>
                <w:bCs/>
              </w:rPr>
              <w:t>Citation (from PDF / user)</w:t>
            </w:r>
          </w:p>
        </w:tc>
        <w:tc>
          <w:tcPr>
            <w:tcW w:w="0" w:type="auto"/>
            <w:hideMark/>
          </w:tcPr>
          <w:p w14:paraId="4FF6B0BD" w14:textId="77777777" w:rsidR="003E0246" w:rsidRPr="003E0246" w:rsidRDefault="003E0246" w:rsidP="003E0246">
            <w:pPr>
              <w:spacing w:after="160" w:line="360" w:lineRule="auto"/>
              <w:rPr>
                <w:b/>
                <w:bCs/>
              </w:rPr>
            </w:pPr>
            <w:r w:rsidRPr="003E0246">
              <w:rPr>
                <w:b/>
                <w:bCs/>
              </w:rPr>
              <w:t>Aim</w:t>
            </w:r>
          </w:p>
        </w:tc>
        <w:tc>
          <w:tcPr>
            <w:tcW w:w="0" w:type="auto"/>
            <w:hideMark/>
          </w:tcPr>
          <w:p w14:paraId="45E72618" w14:textId="77777777" w:rsidR="003E0246" w:rsidRPr="003E0246" w:rsidRDefault="003E0246" w:rsidP="003E0246">
            <w:pPr>
              <w:spacing w:after="160" w:line="360" w:lineRule="auto"/>
              <w:rPr>
                <w:b/>
                <w:bCs/>
              </w:rPr>
            </w:pPr>
            <w:r w:rsidRPr="003E0246">
              <w:rPr>
                <w:b/>
                <w:bCs/>
              </w:rPr>
              <w:t>Key findings</w:t>
            </w:r>
          </w:p>
        </w:tc>
        <w:tc>
          <w:tcPr>
            <w:tcW w:w="0" w:type="auto"/>
            <w:hideMark/>
          </w:tcPr>
          <w:p w14:paraId="4FAD329F" w14:textId="77777777" w:rsidR="003E0246" w:rsidRPr="003E0246" w:rsidRDefault="003E0246" w:rsidP="003E0246">
            <w:pPr>
              <w:spacing w:after="160" w:line="360" w:lineRule="auto"/>
              <w:rPr>
                <w:b/>
                <w:bCs/>
              </w:rPr>
            </w:pPr>
            <w:r w:rsidRPr="003E0246">
              <w:rPr>
                <w:b/>
                <w:bCs/>
              </w:rPr>
              <w:t>Relevance to project</w:t>
            </w:r>
          </w:p>
        </w:tc>
      </w:tr>
      <w:tr w:rsidR="003E0246" w:rsidRPr="003E0246" w14:paraId="7F2EF683" w14:textId="77777777" w:rsidTr="003E0246">
        <w:tc>
          <w:tcPr>
            <w:tcW w:w="0" w:type="auto"/>
            <w:hideMark/>
          </w:tcPr>
          <w:p w14:paraId="240DE07D" w14:textId="77777777" w:rsidR="003E0246" w:rsidRPr="003E0246" w:rsidRDefault="003E0246" w:rsidP="003E0246">
            <w:pPr>
              <w:spacing w:after="160" w:line="360" w:lineRule="auto"/>
            </w:pPr>
            <w:r w:rsidRPr="003E0246">
              <w:t>1</w:t>
            </w:r>
          </w:p>
        </w:tc>
        <w:tc>
          <w:tcPr>
            <w:tcW w:w="0" w:type="auto"/>
            <w:hideMark/>
          </w:tcPr>
          <w:p w14:paraId="4369F0AE" w14:textId="77777777" w:rsidR="003E0246" w:rsidRPr="003E0246" w:rsidRDefault="003E0246" w:rsidP="003E0246">
            <w:pPr>
              <w:spacing w:after="160" w:line="360" w:lineRule="auto"/>
            </w:pPr>
            <w:r w:rsidRPr="003E0246">
              <w:t xml:space="preserve">Mohan Kumar Gajula &amp; Arunkumar </w:t>
            </w:r>
            <w:proofErr w:type="spellStart"/>
            <w:r w:rsidRPr="003E0246">
              <w:t>Akuthota</w:t>
            </w:r>
            <w:proofErr w:type="spellEnd"/>
            <w:r w:rsidRPr="003E0246">
              <w:t xml:space="preserve"> — </w:t>
            </w:r>
            <w:r w:rsidRPr="003E0246">
              <w:rPr>
                <w:i/>
                <w:iCs/>
              </w:rPr>
              <w:t>Algorithms Built to Prevent Future Quantum Attacks: Post-Quantum Cryptography…</w:t>
            </w:r>
          </w:p>
        </w:tc>
        <w:tc>
          <w:tcPr>
            <w:tcW w:w="0" w:type="auto"/>
            <w:hideMark/>
          </w:tcPr>
          <w:p w14:paraId="524311CF" w14:textId="77777777" w:rsidR="003E0246" w:rsidRPr="003E0246" w:rsidRDefault="003E0246" w:rsidP="003E0246">
            <w:pPr>
              <w:spacing w:after="160" w:line="360" w:lineRule="auto"/>
            </w:pPr>
            <w:r w:rsidRPr="003E0246">
              <w:t>Survey PQC families and assess readiness.</w:t>
            </w:r>
          </w:p>
        </w:tc>
        <w:tc>
          <w:tcPr>
            <w:tcW w:w="0" w:type="auto"/>
            <w:hideMark/>
          </w:tcPr>
          <w:p w14:paraId="720F20CA" w14:textId="77777777" w:rsidR="003E0246" w:rsidRPr="003E0246" w:rsidRDefault="003E0246" w:rsidP="003E0246">
            <w:pPr>
              <w:spacing w:after="160" w:line="360" w:lineRule="auto"/>
            </w:pPr>
            <w:r w:rsidRPr="003E0246">
              <w:t>Examines lattice/hash/code/multivariate/isogeny families; trade-offs: security vs key/ciphertext sizes; recommends hybrid strategies.</w:t>
            </w:r>
          </w:p>
        </w:tc>
        <w:tc>
          <w:tcPr>
            <w:tcW w:w="0" w:type="auto"/>
            <w:hideMark/>
          </w:tcPr>
          <w:p w14:paraId="4969E97B" w14:textId="77777777" w:rsidR="003E0246" w:rsidRPr="003E0246" w:rsidRDefault="003E0246" w:rsidP="003E0246">
            <w:pPr>
              <w:spacing w:after="160" w:line="360" w:lineRule="auto"/>
            </w:pPr>
            <w:r w:rsidRPr="003E0246">
              <w:t>Guides PQC primitive selection and performance/security trade-offs.</w:t>
            </w:r>
          </w:p>
        </w:tc>
      </w:tr>
      <w:tr w:rsidR="003E0246" w:rsidRPr="003E0246" w14:paraId="25FEDB9B" w14:textId="77777777" w:rsidTr="003E0246">
        <w:tc>
          <w:tcPr>
            <w:tcW w:w="0" w:type="auto"/>
            <w:hideMark/>
          </w:tcPr>
          <w:p w14:paraId="47B3EFD5" w14:textId="77777777" w:rsidR="003E0246" w:rsidRPr="003E0246" w:rsidRDefault="003E0246" w:rsidP="003E0246">
            <w:pPr>
              <w:spacing w:after="160" w:line="360" w:lineRule="auto"/>
            </w:pPr>
            <w:r w:rsidRPr="003E0246">
              <w:t>2</w:t>
            </w:r>
          </w:p>
        </w:tc>
        <w:tc>
          <w:tcPr>
            <w:tcW w:w="0" w:type="auto"/>
            <w:hideMark/>
          </w:tcPr>
          <w:p w14:paraId="5D049C1D" w14:textId="77777777" w:rsidR="003E0246" w:rsidRPr="003E0246" w:rsidRDefault="003E0246" w:rsidP="003E0246">
            <w:pPr>
              <w:spacing w:after="160" w:line="360" w:lineRule="auto"/>
            </w:pPr>
            <w:r w:rsidRPr="003E0246">
              <w:t xml:space="preserve">Abdullah </w:t>
            </w:r>
            <w:proofErr w:type="spellStart"/>
            <w:r w:rsidRPr="003E0246">
              <w:t>Aydeger</w:t>
            </w:r>
            <w:proofErr w:type="spellEnd"/>
            <w:r w:rsidRPr="003E0246">
              <w:t xml:space="preserve"> et al. — </w:t>
            </w:r>
            <w:r w:rsidRPr="003E0246">
              <w:rPr>
                <w:i/>
                <w:iCs/>
              </w:rPr>
              <w:t>Towards a Quantum-Resilient Future: Strategies for Transitioning to PQC.</w:t>
            </w:r>
          </w:p>
        </w:tc>
        <w:tc>
          <w:tcPr>
            <w:tcW w:w="0" w:type="auto"/>
            <w:hideMark/>
          </w:tcPr>
          <w:p w14:paraId="14E5E74B" w14:textId="77777777" w:rsidR="003E0246" w:rsidRPr="003E0246" w:rsidRDefault="003E0246" w:rsidP="003E0246">
            <w:pPr>
              <w:spacing w:after="160" w:line="360" w:lineRule="auto"/>
            </w:pPr>
            <w:r w:rsidRPr="003E0246">
              <w:t>Operational transition framework for PQC.</w:t>
            </w:r>
          </w:p>
        </w:tc>
        <w:tc>
          <w:tcPr>
            <w:tcW w:w="0" w:type="auto"/>
            <w:hideMark/>
          </w:tcPr>
          <w:p w14:paraId="52E6EB28" w14:textId="77777777" w:rsidR="003E0246" w:rsidRPr="003E0246" w:rsidRDefault="003E0246" w:rsidP="003E0246">
            <w:pPr>
              <w:spacing w:after="160" w:line="360" w:lineRule="auto"/>
            </w:pPr>
            <w:r w:rsidRPr="003E0246">
              <w:t>Recommends phased adoption (identify/protect/detect/respond/recover), hybrid deployments and NIST alignment.</w:t>
            </w:r>
          </w:p>
        </w:tc>
        <w:tc>
          <w:tcPr>
            <w:tcW w:w="0" w:type="auto"/>
            <w:hideMark/>
          </w:tcPr>
          <w:p w14:paraId="7FD83F3C" w14:textId="77777777" w:rsidR="003E0246" w:rsidRPr="003E0246" w:rsidRDefault="003E0246" w:rsidP="003E0246">
            <w:pPr>
              <w:spacing w:after="160" w:line="360" w:lineRule="auto"/>
            </w:pPr>
            <w:r w:rsidRPr="003E0246">
              <w:t xml:space="preserve">Roadmap for integrating PQC into messaging stacks and </w:t>
            </w:r>
            <w:proofErr w:type="spellStart"/>
            <w:r w:rsidRPr="003E0246">
              <w:t>prototype→production</w:t>
            </w:r>
            <w:proofErr w:type="spellEnd"/>
            <w:r w:rsidRPr="003E0246">
              <w:t xml:space="preserve"> planning.</w:t>
            </w:r>
          </w:p>
        </w:tc>
      </w:tr>
      <w:tr w:rsidR="003E0246" w:rsidRPr="003E0246" w14:paraId="0817391C" w14:textId="77777777" w:rsidTr="003E0246">
        <w:tc>
          <w:tcPr>
            <w:tcW w:w="0" w:type="auto"/>
            <w:hideMark/>
          </w:tcPr>
          <w:p w14:paraId="3D3B980F" w14:textId="77777777" w:rsidR="003E0246" w:rsidRPr="003E0246" w:rsidRDefault="003E0246" w:rsidP="003E0246">
            <w:pPr>
              <w:spacing w:after="160" w:line="360" w:lineRule="auto"/>
            </w:pPr>
            <w:r w:rsidRPr="003E0246">
              <w:t>3</w:t>
            </w:r>
          </w:p>
        </w:tc>
        <w:tc>
          <w:tcPr>
            <w:tcW w:w="0" w:type="auto"/>
            <w:hideMark/>
          </w:tcPr>
          <w:p w14:paraId="32454D9E" w14:textId="77777777" w:rsidR="003E0246" w:rsidRPr="003E0246" w:rsidRDefault="003E0246" w:rsidP="003E0246">
            <w:pPr>
              <w:spacing w:after="160" w:line="360" w:lineRule="auto"/>
            </w:pPr>
            <w:r w:rsidRPr="003E0246">
              <w:t xml:space="preserve">Saurav Bhattacharya et al. — </w:t>
            </w:r>
            <w:r w:rsidRPr="003E0246">
              <w:rPr>
                <w:i/>
                <w:iCs/>
              </w:rPr>
              <w:t xml:space="preserve">Enhancing Digital Privacy: The Application of Zero-Knowledge </w:t>
            </w:r>
            <w:r w:rsidRPr="003E0246">
              <w:rPr>
                <w:i/>
                <w:iCs/>
              </w:rPr>
              <w:lastRenderedPageBreak/>
              <w:t>Proofs in Authentication Systems.</w:t>
            </w:r>
          </w:p>
        </w:tc>
        <w:tc>
          <w:tcPr>
            <w:tcW w:w="0" w:type="auto"/>
            <w:hideMark/>
          </w:tcPr>
          <w:p w14:paraId="27BF7BE5" w14:textId="77777777" w:rsidR="003E0246" w:rsidRPr="003E0246" w:rsidRDefault="003E0246" w:rsidP="003E0246">
            <w:pPr>
              <w:spacing w:after="160" w:line="360" w:lineRule="auto"/>
            </w:pPr>
            <w:r w:rsidRPr="003E0246">
              <w:lastRenderedPageBreak/>
              <w:t>Review ZKP constructions for authentication.</w:t>
            </w:r>
          </w:p>
        </w:tc>
        <w:tc>
          <w:tcPr>
            <w:tcW w:w="0" w:type="auto"/>
            <w:hideMark/>
          </w:tcPr>
          <w:p w14:paraId="7800BD54" w14:textId="77777777" w:rsidR="003E0246" w:rsidRPr="003E0246" w:rsidRDefault="003E0246" w:rsidP="003E0246">
            <w:pPr>
              <w:spacing w:after="160" w:line="360" w:lineRule="auto"/>
            </w:pPr>
            <w:r w:rsidRPr="003E0246">
              <w:t>ZKP variants (</w:t>
            </w:r>
            <w:proofErr w:type="spellStart"/>
            <w:r w:rsidRPr="003E0246">
              <w:t>zk</w:t>
            </w:r>
            <w:proofErr w:type="spellEnd"/>
            <w:r w:rsidRPr="003E0246">
              <w:t xml:space="preserve">-SNARKs, </w:t>
            </w:r>
            <w:proofErr w:type="spellStart"/>
            <w:r w:rsidRPr="003E0246">
              <w:t>zk</w:t>
            </w:r>
            <w:proofErr w:type="spellEnd"/>
            <w:r w:rsidRPr="003E0246">
              <w:t>-STARKs, NIZKs) are promising; practical costs (proof size/time, trusted setup) are concerns.</w:t>
            </w:r>
          </w:p>
        </w:tc>
        <w:tc>
          <w:tcPr>
            <w:tcW w:w="0" w:type="auto"/>
            <w:hideMark/>
          </w:tcPr>
          <w:p w14:paraId="4F6C481C" w14:textId="77777777" w:rsidR="003E0246" w:rsidRPr="003E0246" w:rsidRDefault="003E0246" w:rsidP="003E0246">
            <w:pPr>
              <w:spacing w:after="160" w:line="360" w:lineRule="auto"/>
            </w:pPr>
            <w:r w:rsidRPr="003E0246">
              <w:t>Directly informs choice and optimisation of membership proof schemes.</w:t>
            </w:r>
          </w:p>
        </w:tc>
      </w:tr>
      <w:tr w:rsidR="003E0246" w:rsidRPr="003E0246" w14:paraId="5CFE6823" w14:textId="77777777" w:rsidTr="003E0246">
        <w:tc>
          <w:tcPr>
            <w:tcW w:w="0" w:type="auto"/>
            <w:hideMark/>
          </w:tcPr>
          <w:p w14:paraId="7DF69FF7" w14:textId="77777777" w:rsidR="003E0246" w:rsidRPr="003E0246" w:rsidRDefault="003E0246" w:rsidP="003E0246">
            <w:pPr>
              <w:spacing w:after="160" w:line="360" w:lineRule="auto"/>
            </w:pPr>
            <w:r w:rsidRPr="003E0246">
              <w:t>4</w:t>
            </w:r>
          </w:p>
        </w:tc>
        <w:tc>
          <w:tcPr>
            <w:tcW w:w="0" w:type="auto"/>
            <w:hideMark/>
          </w:tcPr>
          <w:p w14:paraId="7963BACB" w14:textId="77777777" w:rsidR="003E0246" w:rsidRPr="003E0246" w:rsidRDefault="003E0246" w:rsidP="003E0246">
            <w:pPr>
              <w:spacing w:after="160" w:line="360" w:lineRule="auto"/>
            </w:pPr>
            <w:r w:rsidRPr="003E0246">
              <w:t xml:space="preserve">Alexandr </w:t>
            </w:r>
            <w:proofErr w:type="spellStart"/>
            <w:r w:rsidRPr="003E0246">
              <w:t>Silonosov</w:t>
            </w:r>
            <w:proofErr w:type="spellEnd"/>
            <w:r w:rsidRPr="003E0246">
              <w:t xml:space="preserve"> &amp; Lawrence Henesey — </w:t>
            </w:r>
            <w:r w:rsidRPr="003E0246">
              <w:rPr>
                <w:i/>
                <w:iCs/>
              </w:rPr>
              <w:t>Towards cryptographic agility manifesto in E2EE systems…</w:t>
            </w:r>
          </w:p>
        </w:tc>
        <w:tc>
          <w:tcPr>
            <w:tcW w:w="0" w:type="auto"/>
            <w:hideMark/>
          </w:tcPr>
          <w:p w14:paraId="0201E587" w14:textId="77777777" w:rsidR="003E0246" w:rsidRPr="003E0246" w:rsidRDefault="003E0246" w:rsidP="003E0246">
            <w:pPr>
              <w:spacing w:after="160" w:line="360" w:lineRule="auto"/>
            </w:pPr>
            <w:r w:rsidRPr="003E0246">
              <w:t>Advocate crypto-agility and consumer metrics.</w:t>
            </w:r>
          </w:p>
        </w:tc>
        <w:tc>
          <w:tcPr>
            <w:tcW w:w="0" w:type="auto"/>
            <w:hideMark/>
          </w:tcPr>
          <w:p w14:paraId="1DCF0F30" w14:textId="77777777" w:rsidR="003E0246" w:rsidRPr="003E0246" w:rsidRDefault="003E0246" w:rsidP="003E0246">
            <w:pPr>
              <w:spacing w:after="160" w:line="360" w:lineRule="auto"/>
            </w:pPr>
            <w:r w:rsidRPr="003E0246">
              <w:t>Calls for modular algorithms, migration paths, usable APIs and operational measures.</w:t>
            </w:r>
          </w:p>
        </w:tc>
        <w:tc>
          <w:tcPr>
            <w:tcW w:w="0" w:type="auto"/>
            <w:hideMark/>
          </w:tcPr>
          <w:p w14:paraId="2B865F2F" w14:textId="77777777" w:rsidR="003E0246" w:rsidRPr="003E0246" w:rsidRDefault="003E0246" w:rsidP="003E0246">
            <w:pPr>
              <w:spacing w:after="160" w:line="360" w:lineRule="auto"/>
            </w:pPr>
            <w:r w:rsidRPr="003E0246">
              <w:t>Supports a modular, swappable cryptographic architecture in the prototype.</w:t>
            </w:r>
          </w:p>
        </w:tc>
      </w:tr>
      <w:tr w:rsidR="003E0246" w:rsidRPr="003E0246" w14:paraId="5AE98E8F" w14:textId="77777777" w:rsidTr="003E0246">
        <w:tc>
          <w:tcPr>
            <w:tcW w:w="0" w:type="auto"/>
            <w:hideMark/>
          </w:tcPr>
          <w:p w14:paraId="26EDED4B" w14:textId="77777777" w:rsidR="003E0246" w:rsidRPr="003E0246" w:rsidRDefault="003E0246" w:rsidP="003E0246">
            <w:pPr>
              <w:spacing w:after="160" w:line="360" w:lineRule="auto"/>
            </w:pPr>
            <w:r w:rsidRPr="003E0246">
              <w:t>5</w:t>
            </w:r>
          </w:p>
        </w:tc>
        <w:tc>
          <w:tcPr>
            <w:tcW w:w="0" w:type="auto"/>
            <w:hideMark/>
          </w:tcPr>
          <w:p w14:paraId="10B52347" w14:textId="77777777" w:rsidR="003E0246" w:rsidRPr="003E0246" w:rsidRDefault="003E0246" w:rsidP="003E0246">
            <w:pPr>
              <w:spacing w:after="160" w:line="360" w:lineRule="auto"/>
            </w:pPr>
            <w:r w:rsidRPr="003E0246">
              <w:t xml:space="preserve">Nidhi Rastogi &amp; James Hendler — </w:t>
            </w:r>
            <w:r w:rsidRPr="003E0246">
              <w:rPr>
                <w:i/>
                <w:iCs/>
              </w:rPr>
              <w:t>WhatsApp security and role of metadata in preserving privacy.</w:t>
            </w:r>
          </w:p>
        </w:tc>
        <w:tc>
          <w:tcPr>
            <w:tcW w:w="0" w:type="auto"/>
            <w:hideMark/>
          </w:tcPr>
          <w:p w14:paraId="101703C8" w14:textId="77777777" w:rsidR="003E0246" w:rsidRPr="003E0246" w:rsidRDefault="003E0246" w:rsidP="003E0246">
            <w:pPr>
              <w:spacing w:after="160" w:line="360" w:lineRule="auto"/>
            </w:pPr>
            <w:r w:rsidRPr="003E0246">
              <w:t>Analyse WhatsApp E2EE and metadata risks.</w:t>
            </w:r>
          </w:p>
        </w:tc>
        <w:tc>
          <w:tcPr>
            <w:tcW w:w="0" w:type="auto"/>
            <w:hideMark/>
          </w:tcPr>
          <w:p w14:paraId="5DF8D0D8" w14:textId="77777777" w:rsidR="003E0246" w:rsidRPr="003E0246" w:rsidRDefault="003E0246" w:rsidP="003E0246">
            <w:pPr>
              <w:spacing w:after="160" w:line="360" w:lineRule="auto"/>
            </w:pPr>
            <w:r w:rsidRPr="003E0246">
              <w:t>Shows that metadata (phone numbers, contact graphs, timestamps) undermines privacy even when payloads are encrypted.</w:t>
            </w:r>
          </w:p>
        </w:tc>
        <w:tc>
          <w:tcPr>
            <w:tcW w:w="0" w:type="auto"/>
            <w:hideMark/>
          </w:tcPr>
          <w:p w14:paraId="2D70C95C" w14:textId="77777777" w:rsidR="003E0246" w:rsidRPr="003E0246" w:rsidRDefault="003E0246" w:rsidP="003E0246">
            <w:pPr>
              <w:spacing w:after="160" w:line="360" w:lineRule="auto"/>
            </w:pPr>
            <w:r w:rsidRPr="003E0246">
              <w:t>Justifies avoiding personal identifiers and minimising metadata in onboarding.</w:t>
            </w:r>
          </w:p>
        </w:tc>
      </w:tr>
      <w:tr w:rsidR="003E0246" w:rsidRPr="003E0246" w14:paraId="4B5C71E2" w14:textId="77777777" w:rsidTr="003E0246">
        <w:tc>
          <w:tcPr>
            <w:tcW w:w="0" w:type="auto"/>
            <w:hideMark/>
          </w:tcPr>
          <w:p w14:paraId="4D0EF05F" w14:textId="77777777" w:rsidR="003E0246" w:rsidRPr="003E0246" w:rsidRDefault="003E0246" w:rsidP="003E0246">
            <w:pPr>
              <w:spacing w:after="160" w:line="360" w:lineRule="auto"/>
            </w:pPr>
            <w:r w:rsidRPr="003E0246">
              <w:t>6</w:t>
            </w:r>
          </w:p>
        </w:tc>
        <w:tc>
          <w:tcPr>
            <w:tcW w:w="0" w:type="auto"/>
            <w:hideMark/>
          </w:tcPr>
          <w:p w14:paraId="51283FFB" w14:textId="77777777" w:rsidR="003E0246" w:rsidRPr="003E0246" w:rsidRDefault="003E0246" w:rsidP="003E0246">
            <w:pPr>
              <w:spacing w:after="160" w:line="360" w:lineRule="auto"/>
            </w:pPr>
            <w:r w:rsidRPr="003E0246">
              <w:t xml:space="preserve">Jiahui Xiang et al. — </w:t>
            </w:r>
            <w:r w:rsidRPr="003E0246">
              <w:rPr>
                <w:i/>
                <w:iCs/>
              </w:rPr>
              <w:t>Secure Blockchain-based Single Sign-On with Zero-Knowledge Proof Authentication</w:t>
            </w:r>
            <w:r w:rsidRPr="003E0246">
              <w:t xml:space="preserve"> (GIIS 2025) </w:t>
            </w:r>
            <w:r w:rsidRPr="003E0246">
              <w:rPr>
                <w:i/>
                <w:iCs/>
              </w:rPr>
              <w:t>(user-provided)</w:t>
            </w:r>
          </w:p>
        </w:tc>
        <w:tc>
          <w:tcPr>
            <w:tcW w:w="0" w:type="auto"/>
            <w:hideMark/>
          </w:tcPr>
          <w:p w14:paraId="102B675D" w14:textId="77777777" w:rsidR="003E0246" w:rsidRPr="003E0246" w:rsidRDefault="003E0246" w:rsidP="003E0246">
            <w:pPr>
              <w:spacing w:after="160" w:line="360" w:lineRule="auto"/>
            </w:pPr>
            <w:r w:rsidRPr="003E0246">
              <w:t>Propose blockchain as IdP and integrate ZKP into SSO; evaluate resource trade-offs (IoMT).</w:t>
            </w:r>
          </w:p>
        </w:tc>
        <w:tc>
          <w:tcPr>
            <w:tcW w:w="0" w:type="auto"/>
            <w:hideMark/>
          </w:tcPr>
          <w:p w14:paraId="6C2912D4" w14:textId="77777777" w:rsidR="003E0246" w:rsidRPr="003E0246" w:rsidRDefault="003E0246" w:rsidP="003E0246">
            <w:pPr>
              <w:spacing w:after="160" w:line="360" w:lineRule="auto"/>
            </w:pPr>
            <w:r w:rsidRPr="003E0246">
              <w:t>Demonstrates a permissioned blockchain + ZKP SSO prototype; suggests offloading and one-time read strategies; provides RAM/CPU/latency/network benchmarks.</w:t>
            </w:r>
          </w:p>
        </w:tc>
        <w:tc>
          <w:tcPr>
            <w:tcW w:w="0" w:type="auto"/>
            <w:hideMark/>
          </w:tcPr>
          <w:p w14:paraId="7EC44A1F" w14:textId="77777777" w:rsidR="003E0246" w:rsidRPr="003E0246" w:rsidRDefault="003E0246" w:rsidP="003E0246">
            <w:pPr>
              <w:spacing w:after="160" w:line="360" w:lineRule="auto"/>
            </w:pPr>
            <w:r w:rsidRPr="003E0246">
              <w:t xml:space="preserve">Serves as a practical blueprint for storing ZKP attestations on a permissioned ledger (registration/auth only); informs TTL/revocation and resource-optimisation choices. </w:t>
            </w:r>
            <w:r w:rsidRPr="003E0246">
              <w:rPr>
                <w:i/>
                <w:iCs/>
              </w:rPr>
              <w:t>(user text)</w:t>
            </w:r>
          </w:p>
        </w:tc>
      </w:tr>
    </w:tbl>
    <w:p w14:paraId="4D46DA03" w14:textId="77777777" w:rsidR="003E0246" w:rsidRPr="003E0246" w:rsidRDefault="003E0246" w:rsidP="003E0246">
      <w:pPr>
        <w:spacing w:line="360" w:lineRule="auto"/>
      </w:pPr>
    </w:p>
    <w:sectPr w:rsidR="003E0246" w:rsidRPr="003E0246" w:rsidSect="003E0246">
      <w:pgSz w:w="16838" w:h="11906"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6329"/>
    <w:multiLevelType w:val="multilevel"/>
    <w:tmpl w:val="D638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C0E01"/>
    <w:multiLevelType w:val="multilevel"/>
    <w:tmpl w:val="E4B2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D0476"/>
    <w:multiLevelType w:val="multilevel"/>
    <w:tmpl w:val="C2E6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FE5C63"/>
    <w:multiLevelType w:val="multilevel"/>
    <w:tmpl w:val="1CFC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414E9"/>
    <w:multiLevelType w:val="multilevel"/>
    <w:tmpl w:val="D6C25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B31E5D"/>
    <w:multiLevelType w:val="multilevel"/>
    <w:tmpl w:val="1B700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1E66BF"/>
    <w:multiLevelType w:val="multilevel"/>
    <w:tmpl w:val="F10E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FB5DD6"/>
    <w:multiLevelType w:val="multilevel"/>
    <w:tmpl w:val="3B20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4359BF"/>
    <w:multiLevelType w:val="multilevel"/>
    <w:tmpl w:val="747A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FA4C65"/>
    <w:multiLevelType w:val="multilevel"/>
    <w:tmpl w:val="18EC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2C6F58"/>
    <w:multiLevelType w:val="multilevel"/>
    <w:tmpl w:val="A51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B4B70"/>
    <w:multiLevelType w:val="multilevel"/>
    <w:tmpl w:val="8A86B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AC5E32"/>
    <w:multiLevelType w:val="multilevel"/>
    <w:tmpl w:val="CE2A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E320FE"/>
    <w:multiLevelType w:val="multilevel"/>
    <w:tmpl w:val="F6A2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C7270C"/>
    <w:multiLevelType w:val="multilevel"/>
    <w:tmpl w:val="628E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B6159E"/>
    <w:multiLevelType w:val="multilevel"/>
    <w:tmpl w:val="27B00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590732">
    <w:abstractNumId w:val="6"/>
  </w:num>
  <w:num w:numId="2" w16cid:durableId="2118866882">
    <w:abstractNumId w:val="4"/>
  </w:num>
  <w:num w:numId="3" w16cid:durableId="467434403">
    <w:abstractNumId w:val="12"/>
  </w:num>
  <w:num w:numId="4" w16cid:durableId="2032880311">
    <w:abstractNumId w:val="7"/>
  </w:num>
  <w:num w:numId="5" w16cid:durableId="1046955020">
    <w:abstractNumId w:val="1"/>
  </w:num>
  <w:num w:numId="6" w16cid:durableId="803738896">
    <w:abstractNumId w:val="5"/>
  </w:num>
  <w:num w:numId="7" w16cid:durableId="120653299">
    <w:abstractNumId w:val="3"/>
  </w:num>
  <w:num w:numId="8" w16cid:durableId="1569462602">
    <w:abstractNumId w:val="9"/>
  </w:num>
  <w:num w:numId="9" w16cid:durableId="1941789258">
    <w:abstractNumId w:val="10"/>
  </w:num>
  <w:num w:numId="10" w16cid:durableId="587543711">
    <w:abstractNumId w:val="8"/>
  </w:num>
  <w:num w:numId="11" w16cid:durableId="1863395936">
    <w:abstractNumId w:val="15"/>
  </w:num>
  <w:num w:numId="12" w16cid:durableId="1624842988">
    <w:abstractNumId w:val="13"/>
  </w:num>
  <w:num w:numId="13" w16cid:durableId="180628522">
    <w:abstractNumId w:val="14"/>
  </w:num>
  <w:num w:numId="14" w16cid:durableId="707879471">
    <w:abstractNumId w:val="0"/>
  </w:num>
  <w:num w:numId="15" w16cid:durableId="2040080928">
    <w:abstractNumId w:val="11"/>
  </w:num>
  <w:num w:numId="16" w16cid:durableId="14417532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468"/>
    <w:rsid w:val="00164468"/>
    <w:rsid w:val="003E0246"/>
    <w:rsid w:val="004915F6"/>
    <w:rsid w:val="004A774E"/>
    <w:rsid w:val="005462EB"/>
    <w:rsid w:val="00562A2B"/>
    <w:rsid w:val="00776A67"/>
    <w:rsid w:val="008B29D6"/>
    <w:rsid w:val="00C065D3"/>
    <w:rsid w:val="00C36EB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909EB"/>
  <w15:chartTrackingRefBased/>
  <w15:docId w15:val="{F704CD5E-C99C-403C-BFA1-15A75FDE0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468"/>
    <w:rPr>
      <w:rFonts w:eastAsiaTheme="majorEastAsia" w:cstheme="majorBidi"/>
      <w:color w:val="272727" w:themeColor="text1" w:themeTint="D8"/>
    </w:rPr>
  </w:style>
  <w:style w:type="paragraph" w:styleId="Title">
    <w:name w:val="Title"/>
    <w:basedOn w:val="Normal"/>
    <w:next w:val="Normal"/>
    <w:link w:val="TitleChar"/>
    <w:uiPriority w:val="10"/>
    <w:qFormat/>
    <w:rsid w:val="00164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468"/>
    <w:pPr>
      <w:spacing w:before="160"/>
      <w:jc w:val="center"/>
    </w:pPr>
    <w:rPr>
      <w:i/>
      <w:iCs/>
      <w:color w:val="404040" w:themeColor="text1" w:themeTint="BF"/>
    </w:rPr>
  </w:style>
  <w:style w:type="character" w:customStyle="1" w:styleId="QuoteChar">
    <w:name w:val="Quote Char"/>
    <w:basedOn w:val="DefaultParagraphFont"/>
    <w:link w:val="Quote"/>
    <w:uiPriority w:val="29"/>
    <w:rsid w:val="00164468"/>
    <w:rPr>
      <w:i/>
      <w:iCs/>
      <w:color w:val="404040" w:themeColor="text1" w:themeTint="BF"/>
    </w:rPr>
  </w:style>
  <w:style w:type="paragraph" w:styleId="ListParagraph">
    <w:name w:val="List Paragraph"/>
    <w:basedOn w:val="Normal"/>
    <w:uiPriority w:val="34"/>
    <w:qFormat/>
    <w:rsid w:val="00164468"/>
    <w:pPr>
      <w:ind w:left="720"/>
      <w:contextualSpacing/>
    </w:pPr>
  </w:style>
  <w:style w:type="character" w:styleId="IntenseEmphasis">
    <w:name w:val="Intense Emphasis"/>
    <w:basedOn w:val="DefaultParagraphFont"/>
    <w:uiPriority w:val="21"/>
    <w:qFormat/>
    <w:rsid w:val="00164468"/>
    <w:rPr>
      <w:i/>
      <w:iCs/>
      <w:color w:val="0F4761" w:themeColor="accent1" w:themeShade="BF"/>
    </w:rPr>
  </w:style>
  <w:style w:type="paragraph" w:styleId="IntenseQuote">
    <w:name w:val="Intense Quote"/>
    <w:basedOn w:val="Normal"/>
    <w:next w:val="Normal"/>
    <w:link w:val="IntenseQuoteChar"/>
    <w:uiPriority w:val="30"/>
    <w:qFormat/>
    <w:rsid w:val="00164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468"/>
    <w:rPr>
      <w:i/>
      <w:iCs/>
      <w:color w:val="0F4761" w:themeColor="accent1" w:themeShade="BF"/>
    </w:rPr>
  </w:style>
  <w:style w:type="character" w:styleId="IntenseReference">
    <w:name w:val="Intense Reference"/>
    <w:basedOn w:val="DefaultParagraphFont"/>
    <w:uiPriority w:val="32"/>
    <w:qFormat/>
    <w:rsid w:val="00164468"/>
    <w:rPr>
      <w:b/>
      <w:bCs/>
      <w:smallCaps/>
      <w:color w:val="0F4761" w:themeColor="accent1" w:themeShade="BF"/>
      <w:spacing w:val="5"/>
    </w:rPr>
  </w:style>
  <w:style w:type="table" w:styleId="TableGridLight">
    <w:name w:val="Grid Table Light"/>
    <w:basedOn w:val="TableNormal"/>
    <w:uiPriority w:val="40"/>
    <w:rsid w:val="00562A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E02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863</TotalTime>
  <Pages>8</Pages>
  <Words>1843</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Azri</dc:creator>
  <cp:keywords/>
  <dc:description/>
  <cp:lastModifiedBy>Mohammad Azri</cp:lastModifiedBy>
  <cp:revision>3</cp:revision>
  <dcterms:created xsi:type="dcterms:W3CDTF">2025-08-09T15:54:00Z</dcterms:created>
  <dcterms:modified xsi:type="dcterms:W3CDTF">2025-08-10T07:06:00Z</dcterms:modified>
</cp:coreProperties>
</file>