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center"/>
      </w:pPr>
      <w:r>
        <w:rPr>
          <w:rFonts w:ascii="Times New Roman" w:hAnsi="Times New Roman"/>
          <w:b/>
          <w:i w:val="0"/>
          <w:sz w:val="48"/>
        </w:rPr>
        <w:t>SECURE MESSAGING WITH ZERO KNOWLEDGE PROOF AND INTELLIGENT THREAT DETECTION</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5090"/>
        <w:gridCol w:w="5090"/>
      </w:tblGrid>
      <w:tr>
        <w:tc>
          <w:tcPr>
            <w:tcW w:type="dxa" w:w="4600"/>
          </w:tcPr>
          <w:p>
            <w:pPr>
              <w:spacing w:after="0" w:before="0"/>
              <w:jc w:val="center"/>
            </w:pPr>
            <w:r>
              <w:rPr>
                <w:rFonts w:ascii="Times New Roman" w:hAnsi="Times New Roman"/>
                <w:b w:val="0"/>
                <w:sz w:val="22"/>
              </w:rPr>
              <w:t>Mohammad Azri Bin Aziz</w:t>
            </w:r>
          </w:p>
          <w:p>
            <w:pPr>
              <w:spacing w:after="0" w:before="0"/>
              <w:jc w:val="center"/>
            </w:pPr>
            <w:r>
              <w:rPr>
                <w:rFonts w:ascii="Times New Roman" w:hAnsi="Times New Roman"/>
                <w:b w:val="0"/>
                <w:sz w:val="20"/>
              </w:rPr>
              <w:t>Malaysian Institute of Information Technology</w:t>
            </w:r>
          </w:p>
          <w:p>
            <w:pPr>
              <w:spacing w:after="0" w:before="0"/>
              <w:jc w:val="center"/>
            </w:pPr>
            <w:r>
              <w:rPr>
                <w:rFonts w:ascii="Times New Roman" w:hAnsi="Times New Roman"/>
                <w:b w:val="0"/>
                <w:sz w:val="20"/>
              </w:rPr>
              <w:t>University Kuala Lumpur</w:t>
            </w:r>
          </w:p>
          <w:p>
            <w:pPr>
              <w:spacing w:after="0" w:before="0"/>
              <w:jc w:val="center"/>
            </w:pPr>
            <w:r>
              <w:rPr>
                <w:rFonts w:ascii="Times New Roman" w:hAnsi="Times New Roman"/>
                <w:b w:val="0"/>
                <w:sz w:val="20"/>
              </w:rPr>
              <w:t>Kuala Lumpur, Malaysia</w:t>
            </w:r>
          </w:p>
          <w:p>
            <w:pPr>
              <w:spacing w:after="0" w:before="0"/>
              <w:jc w:val="center"/>
            </w:pPr>
            <w:r>
              <w:rPr>
                <w:rFonts w:ascii="Times New Roman" w:hAnsi="Times New Roman"/>
                <w:b w:val="0"/>
                <w:sz w:val="20"/>
              </w:rPr>
              <w:t>azri.aziz01@s.unikl.edu.my</w:t>
            </w:r>
          </w:p>
        </w:tc>
        <w:tc>
          <w:tcPr>
            <w:tcW w:type="dxa" w:w="4600"/>
          </w:tcPr>
          <w:p>
            <w:pPr>
              <w:spacing w:after="0" w:before="0"/>
              <w:jc w:val="center"/>
            </w:pPr>
            <w:r>
              <w:rPr>
                <w:rFonts w:ascii="Times New Roman" w:hAnsi="Times New Roman"/>
                <w:b w:val="0"/>
                <w:sz w:val="22"/>
              </w:rPr>
              <w:t>Delina Beh Mei Yin</w:t>
            </w:r>
          </w:p>
          <w:p>
            <w:pPr>
              <w:spacing w:after="0" w:before="0"/>
              <w:jc w:val="center"/>
            </w:pPr>
            <w:r>
              <w:rPr>
                <w:rFonts w:ascii="Times New Roman" w:hAnsi="Times New Roman"/>
                <w:b w:val="0"/>
                <w:sz w:val="20"/>
              </w:rPr>
              <w:t>Cybersecurity &amp; Technological Convergence (CTC)</w:t>
            </w:r>
          </w:p>
          <w:p>
            <w:pPr>
              <w:spacing w:after="0" w:before="0"/>
              <w:jc w:val="center"/>
            </w:pPr>
            <w:r>
              <w:rPr>
                <w:rFonts w:ascii="Times New Roman" w:hAnsi="Times New Roman"/>
                <w:b w:val="0"/>
                <w:sz w:val="20"/>
              </w:rPr>
              <w:t>Malaysian Institute of Information Technology</w:t>
            </w:r>
          </w:p>
          <w:p>
            <w:pPr>
              <w:spacing w:after="0" w:before="0"/>
              <w:jc w:val="center"/>
            </w:pPr>
            <w:r>
              <w:rPr>
                <w:rFonts w:ascii="Times New Roman" w:hAnsi="Times New Roman"/>
                <w:b w:val="0"/>
                <w:sz w:val="20"/>
              </w:rPr>
              <w:t>University Kuala Lumpur</w:t>
            </w:r>
          </w:p>
          <w:p>
            <w:pPr>
              <w:spacing w:after="0" w:before="0"/>
              <w:jc w:val="center"/>
            </w:pPr>
            <w:r>
              <w:rPr>
                <w:rFonts w:ascii="Times New Roman" w:hAnsi="Times New Roman"/>
                <w:b w:val="0"/>
                <w:sz w:val="20"/>
              </w:rPr>
              <w:t>Kuala Lumpur, Malaysia</w:t>
            </w:r>
          </w:p>
          <w:p>
            <w:pPr>
              <w:spacing w:after="0" w:before="0"/>
              <w:jc w:val="center"/>
            </w:pPr>
            <w:r>
              <w:rPr>
                <w:rFonts w:ascii="Times New Roman" w:hAnsi="Times New Roman"/>
                <w:b w:val="0"/>
                <w:sz w:val="20"/>
              </w:rPr>
              <w:t>delina@unikl.edu.my</w:t>
            </w:r>
          </w:p>
        </w:tc>
      </w:tr>
    </w:tbl>
    <w:p>
      <w:pPr>
        <w:sectPr>
          <w:headerReference w:type="default" r:id="rId10"/>
          <w:footerReference w:type="default" r:id="rId11"/>
          <w:pgSz w:w="11909" w:h="16834"/>
          <w:pgMar w:top="1440" w:right="120" w:bottom="880" w:left="620" w:header="728" w:footer="694" w:gutter="0"/>
          <w:cols w:space="425" w:num="1" w:equalWidth="1"/>
          <w:docGrid w:linePitch="360"/>
        </w:sectPr>
      </w:pPr>
    </w:p>
    <w:p>
      <w:pPr>
        <w:spacing w:before="160" w:after="60" w:line="240" w:lineRule="auto"/>
        <w:jc w:val="both"/>
      </w:pPr>
      <w:r>
        <w:rPr>
          <w:rFonts w:ascii="Times New Roman" w:hAnsi="Times New Roman"/>
          <w:b/>
          <w:i/>
          <w:sz w:val="18"/>
        </w:rPr>
        <w:t>Abstract—Securing internal messaging remains a persistent challenge for small and medium enterprises (SMEs), whose collaboration tools store user credentials on centralised servers and lose visibility of threats once messages are encrypted. This paper presents SentriZK, a secure internal chat application that reconciles privacy and security by combining three technologies: Zero-Knowledge Proof (ZKP) authentication, end-to-end encryption (E2EE) and on-device artificial intelligence (AI) threat detection. Built using the Rapid Application Development methodology, the system comprises a Flutter mobile application, a Next.js web portal, a Node.js backend and a Python machine-learning pipeline. Authentication transmits no passwords; it relies on Groth16 zk-SNARK circuits whose proofs are generated through a single-use Mobile Access Token bridge, so the server holds only mathematical commitments. Messages are protected with the Signal Protocol for forward secrecy, while a quantised convolutional neural network (Conv1D) scans messages for phishing and social-engineering threats entirely on the device. The prototype was evaluated through functional, security, performance and user-acceptance testing. Every functional test case passed, and the system withstood 19 automated and 16 manual adversarial security tests across the Confidentiality-Integrity-Availability triad. The on-device model achieved 89.2 per cent accuracy and a 96.2 per cent ROC AUC in under one megabyte, and the system earned an overall user-acceptance rating of 4.32 out of 5, demonstrating that privacy-preserving, intelligent secure messaging is feasible on affordable, self-hosted infrastructure.</w:t>
      </w:r>
      <w:r>
        <w:rPr>
          <w:rFonts w:ascii="Times New Roman" w:hAnsi="Times New Roman"/>
          <w:b/>
          <w:i w:val="0"/>
          <w:sz w:val="18"/>
        </w:rPr>
      </w:r>
    </w:p>
    <w:p>
      <w:pPr>
        <w:spacing w:before="0" w:after="80" w:line="240" w:lineRule="auto"/>
        <w:jc w:val="both"/>
      </w:pPr>
      <w:r>
        <w:rPr>
          <w:rFonts w:ascii="Times New Roman" w:hAnsi="Times New Roman"/>
          <w:b/>
          <w:i/>
          <w:sz w:val="18"/>
        </w:rPr>
        <w:t>Index Terms—</w:t>
      </w:r>
      <w:r>
        <w:rPr>
          <w:rFonts w:ascii="Times New Roman" w:hAnsi="Times New Roman"/>
          <w:b w:val="0"/>
          <w:i/>
          <w:sz w:val="18"/>
        </w:rPr>
        <w:t>End-to-end encryption; Insider threat detection; On-device machine learning; Phishing detection; Privacy-preserving authentication; Secure messaging; TensorFlow Lite; Zero-knowledge proof.</w:t>
      </w:r>
    </w:p>
    <w:p>
      <w:pPr>
        <w:jc w:val="left"/>
        <w:spacing w:after="60" w:line="240" w:lineRule="auto"/>
      </w:pPr>
      <w:r>
        <w:rPr>
          <w:rFonts w:ascii="Times New Roman" w:hAnsi="Times New Roman"/>
          <w:smallCaps/>
          <w:sz w:val="20"/>
        </w:rPr>
        <w:t xml:space="preserve">I. Introduction</w:t>
      </w:r>
    </w:p>
    <w:p>
      <w:pPr>
        <w:jc w:val="both"/>
        <w:ind w:firstLine="274"/>
        <w:spacing w:after="120" w:line="240" w:lineRule="auto"/>
      </w:pPr>
      <w:r>
        <w:rPr>
          <w:rFonts w:ascii="Times New Roman" w:hAnsi="Times New Roman"/>
          <w:sz w:val="20"/>
        </w:rPr>
        <w:t xml:space="preserve">Internal messaging has become indispensable to the daily operation of small and medium enterprises (SMEs), which increasingly depend on collaboration platforms to keep distributed teams in constant communication. Most of these platforms, however, retain user credentials on centralised servers, hashing and salting passwords in a single store that becomes an attractive target for attackers. Once such a store is compromised, an intruder may extract password hashes or access keys and impersonate employees to reach confidential business data. The threat is no longer confined to brute-force password guessing: adversaries increasingly hijack entire sessions, capturing tokens that bypass multi-factor authentication and grant a direct view of private corporate conversations [1]. Centralised credential storage therefore constitutes a single point of failure that conventional defences, including encryption and multi-factor authentication, do not eliminate.</w:t>
      </w:r>
    </w:p>
    <w:p>
      <w:pPr>
        <w:jc w:val="both"/>
        <w:ind w:firstLine="274"/>
        <w:spacing w:after="120" w:line="240" w:lineRule="auto"/>
      </w:pPr>
      <w:r>
        <w:rPr>
          <w:rFonts w:ascii="Times New Roman" w:hAnsi="Times New Roman"/>
          <w:sz w:val="20"/>
        </w:rPr>
        <w:t xml:space="preserve">A second and largely opposing problem arises from the very mechanism that protects messages in transit. End-to-end encryption (E2EE) shields content from outside eavesdroppers, yet in doing so it creates a blind spot for threat detection. Server-side scanners cannot inspect what they cannot read, so once messages are encrypted the defenders lose visibility of malicious activity originating from authorised users. An insider, whether deliberately hostile or coerced, may forward tainted links or attachments that slip past server checks entirely. SMEs are thus forced into a difficult compromise: they can encrypt everything and surrender the ability to detect insider and malware threats, or they can monitor everything and violate the privacy of their staff, raising compliance concerns under regimes such as the PDPA and GDPR.</w:t>
      </w:r>
    </w:p>
    <w:p>
      <w:pPr>
        <w:jc w:val="both"/>
        <w:ind w:firstLine="274"/>
        <w:spacing w:after="120" w:line="240" w:lineRule="auto"/>
      </w:pPr>
      <w:r>
        <w:rPr>
          <w:rFonts w:ascii="Times New Roman" w:hAnsi="Times New Roman"/>
          <w:sz w:val="20"/>
        </w:rPr>
        <w:t xml:space="preserve">The literature confirms that the individual technologies needed to resolve this tension already exist, but are seldom unified within SME messaging tools. Zero-Knowledge Proofs (ZKPs) can authenticate users without ever transmitting passwords, yet they have largely been studied within blockchain and IoT settings rather than everyday messaging. On-device, or Edge, artificial intelligence (AI) has been shown to detect threats locally with high accuracy and low latency, but existing work targets the spotting of fraudulent texts and suspicious links rather than behavioural monitoring inside secure chats. No single approach links ZKP authentication to on-device AI threat detection within an encrypted SME messaging channel; this is the gap the present project addresses.</w:t>
      </w:r>
    </w:p>
    <w:p>
      <w:pPr>
        <w:jc w:val="both"/>
        <w:ind w:firstLine="274"/>
        <w:spacing w:after="120" w:line="240" w:lineRule="auto"/>
      </w:pPr>
      <w:r>
        <w:rPr>
          <w:rFonts w:ascii="Times New Roman" w:hAnsi="Times New Roman"/>
          <w:sz w:val="20"/>
        </w:rPr>
        <w:t xml:space="preserve">This paper presents SentriZK, a secure internal chat application for SMEs that resolves the conflict between privacy and security by integrating three complementary pillars. First, ZKP authentication built on Groth16 zk-SNARK circuits, mediated by a single-use Mobile Access Token bridge, allows identity to be proven mathematically so that no passwords cross the network and the server stores only cryptographic commitments. Second, E2EE based on the Signal Protocol protects message content and provides forward secrecy. Third, on-device AI threat detection, performed by a quantised convolutional neural network embedded in the client, scans messages for phishing and social-engineering content entirely on the device, preserving confidentiality. The system was built using the Rapid Application Development (RAD) methodology and comprises a Flutter mobile application, a Next.js web portal, a Node.js backend, and a Python machine-learning pipeline, deployable on affordable, self-hosted infrastructure such as a Raspberry Pi 5.</w:t>
      </w:r>
    </w:p>
    <w:p>
      <w:pPr>
        <w:jc w:val="both"/>
        <w:ind w:firstLine="274"/>
        <w:spacing w:after="120" w:line="240" w:lineRule="auto"/>
      </w:pPr>
      <w:r>
        <w:rPr>
          <w:rFonts w:ascii="Times New Roman" w:hAnsi="Times New Roman"/>
          <w:sz w:val="20"/>
        </w:rPr>
        <w:t xml:space="preserve">The contributions and objectives of this work are threefold. First, the project studies existing authentication and anomaly-detection methods in internal messaging systems and identifies their security limitations. Second, it develops a secure internal chat application that integrates ZKP authentication with on-device AI threat detection, eliminating the risk of credential theft and catching insider threats without compromising user privacy. Third, it evaluates the system's functionality, security, and performance through functional, security, performance, and user-acceptance testing, thereby benchmarking enterprise-grade cryptography and AI inference on resource-limited consumer hardware. In doing so, SentriZK offers a working blueprint demonstrating that an SME need not choose between protecting employee privacy and detecting threats, since both can be achieved at once.</w:t>
      </w:r>
    </w:p>
    <w:p>
      <w:pPr>
        <w:jc w:val="left"/>
        <w:spacing w:after="60" w:line="240" w:lineRule="auto"/>
      </w:pPr>
      <w:r>
        <w:rPr>
          <w:rFonts w:ascii="Times New Roman" w:hAnsi="Times New Roman"/>
          <w:smallCaps/>
          <w:sz w:val="20"/>
        </w:rPr>
        <w:t xml:space="preserve">II. Related Work</w:t>
      </w:r>
    </w:p>
    <w:p>
      <w:pPr>
        <w:jc w:val="left"/>
        <w:spacing w:after="40" w:line="240" w:lineRule="auto"/>
      </w:pPr>
      <w:r>
        <w:rPr>
          <w:rFonts w:ascii="Times New Roman" w:hAnsi="Times New Roman"/>
          <w:i/>
          <w:sz w:val="20"/>
        </w:rPr>
        <w:t xml:space="preserve">A. Zero-Knowledge Authentication</w:t>
      </w:r>
    </w:p>
    <w:p>
      <w:pPr>
        <w:jc w:val="both"/>
        <w:ind w:firstLine="274"/>
        <w:spacing w:after="120" w:line="240" w:lineRule="auto"/>
      </w:pPr>
      <w:r>
        <w:rPr>
          <w:rFonts w:ascii="Times New Roman" w:hAnsi="Times New Roman"/>
          <w:sz w:val="20"/>
        </w:rPr>
        <w:t xml:space="preserve">Transmitting passwords or credentials across a network carries inherent risk, and Zero-Knowledge Proofs (ZKPs) have been studied as a means of removing it: a prover demonstrates knowledge of a secret to a verifier without ever disclosing the secret itself. Bhattacharya et al. [10] contrasted conventional password-hashing schemes with zero-knowledge constructions and observed that the absence of shared secrets reduces exposure, since no identifying data passes through the authentication process. Their analysis also highlighted the trade-offs between proof systems: zk-SNARKs produce compact proofs and verify quickly but require an awkward trusted setup, whereas zk-STARKs resist quantum attack at the cost of larger proof sizes.</w:t>
      </w:r>
    </w:p>
    <w:p>
      <w:pPr>
        <w:jc w:val="both"/>
        <w:ind w:firstLine="274"/>
        <w:spacing w:after="120" w:line="240" w:lineRule="auto"/>
      </w:pPr>
      <w:r>
        <w:rPr>
          <w:rFonts w:ascii="Times New Roman" w:hAnsi="Times New Roman"/>
          <w:sz w:val="20"/>
        </w:rPr>
        <w:t xml:space="preserve">A central concern in the literature is whether resource-constrained devices can sustain the computation that ZKPs demand. Chen et al. [11], surveying zero-knowledge authentication for the Internet of Things, compared several schemes on battery- and processor-limited hardware and found Non-Interactive Zero-Knowledge Proofs, and the Groth16 protocol in particular, highly efficient owing to their minimal proof size; this confirms that protocols first designed for IoT sensors are feasible on modern smartphones. Beyond login, zero-knowledge proofs support richer identity management: Luong and Park [12] showed that zk-SNARKs could underpin decentralised identity on Ethereum, allowing users to prove who they are while keeping private attributes off the record, though heavy gas costs constrained scalability. Together these works establish that password-less, privacy-preserving authentication is sound and computationally practical, but they situate it largely within blockchain and IoT settings rather than the everyday messaging tools SentriZK targets.</w:t>
      </w:r>
    </w:p>
    <w:p>
      <w:pPr>
        <w:jc w:val="left"/>
        <w:spacing w:after="40" w:line="240" w:lineRule="auto"/>
      </w:pPr>
      <w:r>
        <w:rPr>
          <w:rFonts w:ascii="Times New Roman" w:hAnsi="Times New Roman"/>
          <w:i/>
          <w:sz w:val="20"/>
        </w:rPr>
        <w:t xml:space="preserve">B. End-to-End Encryption and Insider Threats</w:t>
      </w:r>
    </w:p>
    <w:p>
      <w:pPr>
        <w:jc w:val="both"/>
        <w:ind w:firstLine="274"/>
        <w:spacing w:after="120" w:line="240" w:lineRule="auto"/>
      </w:pPr>
      <w:r>
        <w:rPr>
          <w:rFonts w:ascii="Times New Roman" w:hAnsi="Times New Roman"/>
          <w:sz w:val="20"/>
        </w:rPr>
        <w:t xml:space="preserve">End-to-End Encryption (E2EE) secures the messaging channel, yet the literature is consistent that the encryption mathematics are sound while implementation and surrounding processes remain vulnerable. Alatawi and Saxena [2], analysing seventeen popular messaging applications, found that opportunistic encryption defends against passive eavesdropping but fails against active Man-in-the-Middle attacks because users neglect the manual authentication ceremonies, such as scanning QR codes or comparing long hexadecimal strings. They concluded that manual verification is functionally broken, identifying human error as a critical weakness. At the architectural level, Ilesanmi [1] applied STRIDE threat modelling to enterprise secure messaging and showed that, even with the network layer encrypted, endpoints stay exposed to metadata analysis and session hijacking, while Perkasa et al. [3] built a working chat framework on AES-256 and Diffie-Hellman within a microservice architecture but relied on standard constructions that ignore post-quantum threats.</w:t>
      </w:r>
    </w:p>
    <w:p>
      <w:pPr>
        <w:jc w:val="both"/>
        <w:ind w:firstLine="274"/>
        <w:spacing w:after="120" w:line="240" w:lineRule="auto"/>
      </w:pPr>
      <w:r>
        <w:rPr>
          <w:rFonts w:ascii="Times New Roman" w:hAnsi="Times New Roman"/>
          <w:sz w:val="20"/>
        </w:rPr>
        <w:t xml:space="preserve">Encryption also creates a blind spot for monitoring malicious activity that originates from authorised users. Srinivasan et al. [5] proposed Bidirectional Long Short-Term Memory networks to analyse user behaviour, reading action sequences both forward and backward in time to achieve higher insider-detection accuracy than examining isolated events. The review by Alzaabi and Mehmood [4], however, flagged persistent drawbacks of deep-learning approaches: their decisions are difficult to interpret, and the severe class imbalance arising because genuine insider attacks are rare makes prediction harder under real-world conditions. Crucially, almost all such methods depend on analysing traffic at the server, which undermines the very privacy guarantees E2EE is designed to provide.</w:t>
      </w:r>
    </w:p>
    <w:p>
      <w:pPr>
        <w:jc w:val="left"/>
        <w:spacing w:after="40" w:line="240" w:lineRule="auto"/>
      </w:pPr>
      <w:r>
        <w:rPr>
          <w:rFonts w:ascii="Times New Roman" w:hAnsi="Times New Roman"/>
          <w:i/>
          <w:sz w:val="20"/>
        </w:rPr>
        <w:t xml:space="preserve">C. On-Device AI Threat Detection</w:t>
      </w:r>
    </w:p>
    <w:p>
      <w:pPr>
        <w:jc w:val="both"/>
        <w:ind w:firstLine="274"/>
        <w:spacing w:after="120" w:line="240" w:lineRule="auto"/>
      </w:pPr>
      <w:r>
        <w:rPr>
          <w:rFonts w:ascii="Times New Roman" w:hAnsi="Times New Roman"/>
          <w:sz w:val="20"/>
        </w:rPr>
        <w:t xml:space="preserve">Resolving the tension between threat detection and encrypted-channel privacy requires moving analysis off the cloud and onto the device itself (Edge AI). Natha et al. [6], in a systematic review of anomaly detection, noted that traditional machine learning such as Support Vector Machines often underfits complex real-world data, making deep learning necessary, yet deep learning has conventionally relied on cloud resources that introduce privacy risk. Recent work has reversed this picture. Bispo et al. [8], with the PHILDER framework, demonstrated a compressed deep-learning model on ARM-based mobile processors that exceeded ninety per cent detection accuracy at under one hundred milliseconds of latency, proving heavy cloud servers are not strictly necessary.</w:t>
      </w:r>
    </w:p>
    <w:p>
      <w:pPr>
        <w:jc w:val="both"/>
        <w:ind w:firstLine="274"/>
        <w:spacing w:after="120" w:line="240" w:lineRule="auto"/>
      </w:pPr>
      <w:r>
        <w:rPr>
          <w:rFonts w:ascii="Times New Roman" w:hAnsi="Times New Roman"/>
          <w:sz w:val="20"/>
        </w:rPr>
        <w:t xml:space="preserve">Mobile optimisation techniques reinforce this shift. Gaurav et al. [7] distilled a TinyBERT transformer for Android-based smishing detection, reaching 96.81 per cent accuracy and clearly outperforming traditional models such as Random Forest, confirming that complex transformers can be compressed for mobile use. Karim et al. [9] went further by pairing shallow learning with deep features in a hybrid model, extracting lexical patterns such as URL length and character randomness more effectively than any single model alone. These studies show that compact, accurate on-device detection is achievable, but they concentrate on isolated tasks such as SMS-scam or link classification rather than on monitoring user behaviour privately within secure chats. This leaves a clear gap, that no existing approach links Zero-Knowledge Proof authentication, E2EE, and on-device AI threat detection within a single SME messaging tool, which SentriZK is designed to close.</w:t>
      </w:r>
    </w:p>
    <w:p>
      <w:pPr>
        <w:jc w:val="left"/>
        <w:spacing w:after="60" w:line="240" w:lineRule="auto"/>
      </w:pPr>
      <w:r>
        <w:rPr>
          <w:rFonts w:ascii="Times New Roman" w:hAnsi="Times New Roman"/>
          <w:smallCaps/>
          <w:sz w:val="20"/>
        </w:rPr>
        <w:t xml:space="preserve">III. The Proposed Work</w:t>
      </w:r>
    </w:p>
    <w:p>
      <w:pPr>
        <w:jc w:val="left"/>
        <w:spacing w:after="40" w:line="240" w:lineRule="auto"/>
      </w:pPr>
      <w:r>
        <w:rPr>
          <w:rFonts w:ascii="Times New Roman" w:hAnsi="Times New Roman"/>
          <w:i/>
          <w:sz w:val="20"/>
        </w:rPr>
        <w:t xml:space="preserve">A. System Architecture</w:t>
      </w:r>
    </w:p>
    <w:p>
      <w:pPr>
        <w:jc w:val="both"/>
        <w:ind w:firstLine="274"/>
        <w:spacing w:after="120" w:line="240" w:lineRule="auto"/>
      </w:pPr>
      <w:r>
        <w:rPr>
          <w:rFonts w:ascii="Times New Roman" w:hAnsi="Times New Roman"/>
          <w:sz w:val="20"/>
        </w:rPr>
        <w:t>SentriZK is realised as four cooperating tiers that together enforce a single guiding principle: the server never retains anything an attacker would find worth stealing. Employees use a Flutter mobile application (Dart SDK 3.8) as their primary client for messaging, calling, and on-device threat scanning. Because a phone cannot run the Groth16 WebAssembly prover efficiently, the computationally intensive zero-knowledge proof generation is offloaded to a Next.js web portal (Next.js 15.5.6, React 19, TypeScript) that acts as a dedicated cryptographic surface. Proof verification, session management, and notification brokering sit in a Node.js/Express backend (Node.js 18+, Express 5). Storage is deliberately split: a Supabase PostgreSQL database holds the security-critical authentication state across five tables, namely users and their commitments, sessions, single-use tokens, mobile access tokens, and the threat log, while Firebase Firestore relays encrypted messages and drives the real-time features. This separation keeps relational authentication data under the project's own control and delegates high-volume real-time delivery to a managed platform. The whole system is maintained as a single Git monorepository comprising the backend, the web portal, the mobile application, and a Python machine-learning pipeline. Consistent with the privacy-first design, the backend stores only Poseidon commitments rather than passwords, and the messaging tier keeps Signal Protocol ciphertext rather than plaintext. Figure 1 shows the overall layered architecture.</w:t>
      </w:r>
    </w:p>
    <w:p>
      <w:pPr>
        <w:jc w:val="center"/>
      </w:pPr>
      <w:r>
        <w:drawing>
          <wp:inline xmlns:a="http://schemas.openxmlformats.org/drawingml/2006/main" xmlns:pic="http://schemas.openxmlformats.org/drawingml/2006/picture">
            <wp:extent cx="3063240" cy="13926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3063240" cy="1392672"/>
                    </a:xfrm>
                    <a:prstGeom prst="rect"/>
                  </pic:spPr>
                </pic:pic>
              </a:graphicData>
            </a:graphic>
          </wp:inline>
        </w:drawing>
      </w:r>
    </w:p>
    <w:p>
      <w:pPr>
        <w:jc w:val="center"/>
        <w:spacing w:before="40" w:after="120"/>
      </w:pPr>
      <w:r>
        <w:rPr>
          <w:rFonts w:ascii="Times New Roman" w:hAnsi="Times New Roman"/>
          <w:sz w:val="18"/>
        </w:rPr>
        <w:t xml:space="preserve">Figure 1: SentriZK System Architecture</w:t>
      </w:r>
    </w:p>
    <w:p>
      <w:pPr>
        <w:jc w:val="left"/>
        <w:spacing w:after="40" w:line="240" w:lineRule="auto"/>
      </w:pPr>
      <w:r>
        <w:rPr>
          <w:rFonts w:ascii="Times New Roman" w:hAnsi="Times New Roman"/>
          <w:i/>
          <w:sz w:val="20"/>
        </w:rPr>
        <w:t xml:space="preserve">B. Zero-Knowledge Authentication</w:t>
      </w:r>
    </w:p>
    <w:p>
      <w:pPr>
        <w:jc w:val="both"/>
        <w:ind w:firstLine="274"/>
        <w:spacing w:after="120" w:line="240" w:lineRule="auto"/>
      </w:pPr>
      <w:r>
        <w:rPr>
          <w:rFonts w:ascii="Times New Roman" w:hAnsi="Times New Roman"/>
          <w:sz w:val="20"/>
        </w:rPr>
        <w:t xml:space="preserve">Authentication replaces password transmission with a zero-knowledge proof of knowledge built on two Circom 2.0.0 circuits proven with the Groth16 zk-SNARK system over the BN128 elliptic curve. The registration circuit computes a single Poseidon commitment from the user's secret, a salt, and a hash of the username, with the secret range-checked to 256 bits and the salt to 128 bits. The login circuit recomputes that commitment from the same private inputs, asserts that it matches the stored commitment, and outputs a Poseidon session value bound to a fresh server-issued nonce. The two circuits compile to 991 and 1,573 rank-one constraints respectively, keeping proof generation and verification fast; the compiled artefacts remain compact, with proving keys of approximately 459 KB and 740 KB.</w:t>
      </w:r>
    </w:p>
    <w:p>
      <w:pPr>
        <w:jc w:val="both"/>
        <w:ind w:firstLine="274"/>
        <w:spacing w:after="120" w:line="240" w:lineRule="auto"/>
      </w:pPr>
      <w:r>
        <w:rPr>
          <w:rFonts w:ascii="Times New Roman" w:hAnsi="Times New Roman"/>
          <w:sz w:val="20"/>
        </w:rPr>
        <w:t xml:space="preserve">The most significant design decision in this module addresses a practical constraint. Rather than weaken the cryptography to fit the phone, the implementation delegates proof generation to the web portal through a short-lived, device-bound Mobile Access Token (MAT) valid for five minutes. The mobile application requests a single-use MAT, opens the system browser to the web portal carrying that token, the browser performs the heavy proof generation and submits the proof to the backend, and the result returns to the application through a custom sentriapp:// deep link. This bridge keeps every secret on the user's own devices and shifts only the computational burden to the browser. All cryptographic inputs are derived on the client: the secret is derived from the user's wallet address using SHA3-256 and is never stored, the salt is derived from a 24-word BIP-39 recovery phrase using HKDF-SHA256 and stored only as an AES-256-GCM envelope keyed by PBKDF2-HMAC-SHA256 with 310,000 iterations, and the username hash is computed with SHA3-256. Because the server receives only the Poseidon commitment and the proof, a database breach yields no passwords, secrets, or salts. Replay protection is intrinsic: each login attempt receives a fresh 64-bit nonce with a 60-second lifetime that the circuit binds into the session output, after which the nonce is consumed, a 30-minute device-bound session is created, and a single-use redirect token is issued, with sessions rotated on every refresh.</w:t>
      </w:r>
    </w:p>
    <w:p>
      <w:pPr>
        <w:jc w:val="left"/>
        <w:spacing w:after="40" w:line="240" w:lineRule="auto"/>
      </w:pPr>
      <w:r>
        <w:rPr>
          <w:rFonts w:ascii="Times New Roman" w:hAnsi="Times New Roman"/>
          <w:i/>
          <w:sz w:val="20"/>
        </w:rPr>
        <w:t xml:space="preserve">C. End-to-End Encrypted Messaging</w:t>
      </w:r>
    </w:p>
    <w:p>
      <w:pPr>
        <w:jc w:val="both"/>
        <w:ind w:firstLine="274"/>
        <w:spacing w:after="120" w:line="240" w:lineRule="auto"/>
      </w:pPr>
      <w:r>
        <w:rPr>
          <w:rFonts w:ascii="Times New Roman" w:hAnsi="Times New Roman"/>
          <w:sz w:val="20"/>
        </w:rPr>
        <w:t xml:space="preserve">For message confidentiality the implementation adopts the Signal Protocol through the libsignal_protocol_dart library rather than a bespoke scheme. This was a deliberate choice: hand-rolled cryptographic protocols are notoriously error-prone, whereas the Signal Protocol is a peer-reviewed, widely deployed standard that provides forward secrecy and post-compromise security out of the box, strengthening the security guarantees while reducing implementation risk. Each device generates a long-term identity key pair, one signed pre-key, and one hundred one-time pre-keys, all on the Curve25519 elliptic curve, publishing only the public half of this bundle to its Firestore document so that other users can initiate a session without prior contact. When a message is sent, the application fetches the recipient's public bundle, establishes a shared secret through the Extended Triple Diffie-Hellman (X3DH) handshake, and encrypts the message with the Double Ratchet algorithm, which rotates the message key for every single message to provide per-message forward secrecy. The resulting ciphertext is relayed through Firestore, and the server never sees plaintext or private keys. The application also implements an offline-first storage model: incoming ciphertext is decrypted, written to a local Isar database, and then removed from Firestore, so the device becomes the durable source of truth while the cloud retains as little as possible. Audio and video calls use a separate WebRTC channel secured by DTLS-SRTP, with Firestore handling only call signalling.</w:t>
      </w:r>
    </w:p>
    <w:p>
      <w:pPr>
        <w:jc w:val="left"/>
        <w:spacing w:after="40" w:line="240" w:lineRule="auto"/>
      </w:pPr>
      <w:r>
        <w:rPr>
          <w:rFonts w:ascii="Times New Roman" w:hAnsi="Times New Roman"/>
          <w:i/>
          <w:sz w:val="20"/>
        </w:rPr>
        <w:t xml:space="preserve">D. On-Device AI Threat Detection</w:t>
      </w:r>
    </w:p>
    <w:p>
      <w:pPr>
        <w:jc w:val="both"/>
        <w:ind w:firstLine="274"/>
        <w:spacing w:after="120" w:line="240" w:lineRule="auto"/>
      </w:pPr>
      <w:r>
        <w:rPr>
          <w:rFonts w:ascii="Times New Roman" w:hAnsi="Times New Roman"/>
          <w:sz w:val="20"/>
        </w:rPr>
        <w:t xml:space="preserve">The threat-detection module analyses message content for social-engineering and phishing indicators entirely on the device, so no message text is sent to a server for scoring. Because a labelled corpus of safe and malicious messages was available, the task is naturally a supervised binary classification, and the module was built around two supervised neural networks. A Bidirectional Long Short-Term Memory (Bi-LSTM) network served as a high-accuracy research model on the workstation, while a one-dimensional Convolutional Neural Network (Conv1D) served as the production model on the mobile device, chosen for deployment because every one of its operations is natively supported by TensorFlow Lite, allowing it to run on the phone's hardware accelerators without a compatibility delegate. The model was trained on a balanced dataset of 5,740 labelled messages (2,890 safe and 2,850 threat) aggregated from the Enron corporate-email corpus, the ExAIS SMS spam collection, the Jigsaw multilingual toxic-comment dataset, and hand-crafted synthetic insider-threat and phishing messages. Each message is tokenised against a 10,000-word vocabulary and padded to 120 tokens. The Conv1D network stacks a 64-dimensional embedding layer, a 128-filter convolution with kernel size five, global max-pooling, a 64-unit dense layer with dropout, and a single sigmoid output, trained with the Adam optimiser and binary cross-entropy loss under balanced class weighting with an extra penalty on the threat class. Converted to TensorFlow Lite using dynamic-range quantisation, the final artefact is approximately 681 KB, well under one megabyte.</w:t>
      </w:r>
    </w:p>
    <w:p>
      <w:pPr>
        <w:jc w:val="both"/>
        <w:ind w:firstLine="274"/>
        <w:spacing w:after="120" w:line="240" w:lineRule="auto"/>
      </w:pPr>
      <w:r>
        <w:rPr>
          <w:rFonts w:ascii="Times New Roman" w:hAnsi="Times New Roman"/>
          <w:sz w:val="20"/>
        </w:rPr>
        <w:t xml:space="preserve">On the device the model is loaded through the tflite_flutter interpreter, which first attempts GPU and Android Neural Networks API acceleration, validates the delegate with a self-test, and falls back to the CPU if the accelerator misbehaves. Every outgoing message is tokenised exactly as during training and scored on a scale from zero to one; once the score exceeds the 0.65 threshold, the message is reported to a backend threat-log endpoint for administrator review, and flagged messages carry a red warning indicator on the receiving side. The text classifier is paired with a dedicated rule-based URL-inspection layer combining a homograph detector for look-alike Unicode characters, a local database of known phishing domains matched by exact and near-miss comparison, a transport-security check, and an active lookup against the Google Safe Browsing API, with results cached on the device for seven days to avoid repeated network calls. Dangerous or suspicious links trigger an interstitial warning dialog before they can be opened.</w:t>
      </w:r>
    </w:p>
    <w:p>
      <w:pPr>
        <w:jc w:val="left"/>
        <w:spacing w:after="40" w:line="240" w:lineRule="auto"/>
      </w:pPr>
      <w:r>
        <w:rPr>
          <w:rFonts w:ascii="Times New Roman" w:hAnsi="Times New Roman"/>
          <w:i/>
          <w:sz w:val="20"/>
        </w:rPr>
        <w:t xml:space="preserve">E. Development Methodology</w:t>
      </w:r>
    </w:p>
    <w:p>
      <w:pPr>
        <w:jc w:val="both"/>
        <w:ind w:firstLine="274"/>
        <w:spacing w:after="120" w:line="240" w:lineRule="auto"/>
      </w:pPr>
      <w:r>
        <w:rPr>
          <w:rFonts w:ascii="Times New Roman" w:hAnsi="Times New Roman"/>
          <w:sz w:val="20"/>
        </w:rPr>
        <w:t xml:space="preserve">SentriZK was built using the Rapid Application Development (RAD) lifecycle, chosen over the Waterfall and Agile models because its three core modules, namely zero-knowledge authentication, end-to-end encrypted messaging, and on-device AI threat detection, had to be developed in parallel under the fixed time constraints of a final-year project. RAD's emphasis on early visualisation and iterative prototyping allowed working mock-ups to be validated with stakeholders before final implementation, lowering the risk of misaligned requirements, while its modular construction supported effective risk mitigation by surfacing defects in individual components early. The RAD lifecycle proceeded through its four phases of Requirements Planning, User Design, Construction, and Cutover, informed by stakeholder consultation with NISHA SUTERA ENTERPRISE. Rather than a single release, the system was delivered in successive increments: the first established the core platform with zero-knowledge registration and login, the Signal Protocol messaging core, and the initial mobile interface; the second added the on-device threat-detection model, the URL-inspection layer, audio and video calling, the administrator panel, and the migration to Supabase PostgreSQL. Development spanned roughly thirty feature branches merged across approximately 296 commits over a seven-month period. Reflecting the project's cost-effectiveness aim for SMEs, the system favours self-hosting and free service tiers, and is deployable on low-cost hardware such as a Raspberry Pi 5, with both Supabase and Firebase remaining within their free tiers.</w:t>
      </w:r>
    </w:p>
    <w:p>
      <w:pPr>
        <w:jc w:val="left"/>
        <w:spacing w:after="60" w:line="240" w:lineRule="auto"/>
      </w:pPr>
      <w:r>
        <w:rPr>
          <w:rFonts w:ascii="Times New Roman" w:hAnsi="Times New Roman"/>
          <w:smallCaps/>
          <w:sz w:val="20"/>
        </w:rPr>
        <w:t xml:space="preserve">IV. Results and Findings</w:t>
      </w:r>
    </w:p>
    <w:p>
      <w:pPr>
        <w:jc w:val="left"/>
        <w:spacing w:after="40" w:line="240" w:lineRule="auto"/>
      </w:pPr>
      <w:r>
        <w:rPr>
          <w:rFonts w:ascii="Times New Roman" w:hAnsi="Times New Roman"/>
          <w:i/>
          <w:sz w:val="20"/>
        </w:rPr>
        <w:t xml:space="preserve">A. Functional and Security Testing</w:t>
      </w:r>
    </w:p>
    <w:p>
      <w:pPr>
        <w:jc w:val="both"/>
        <w:ind w:firstLine="274"/>
        <w:spacing w:after="120" w:line="240" w:lineRule="auto"/>
      </w:pPr>
      <w:r>
        <w:rPr>
          <w:rFonts w:ascii="Times New Roman" w:hAnsi="Times New Roman"/>
          <w:sz w:val="20"/>
        </w:rPr>
        <w:t xml:space="preserve">The finished SentriZK prototype was evaluated through functional, security, performance, and user-acceptance testing. Functional testing was conducted as black-box testing against the released build, exercising each core feature end to end against the use cases defined during design. All twelve functional test cases passed, confirming that the implementation delivers its intended features, from account creation through end-to-end encrypted messaging to administrative control.</w:t>
      </w:r>
    </w:p>
    <w:p>
      <w:pPr>
        <w:jc w:val="both"/>
        <w:ind w:firstLine="274"/>
        <w:spacing w:after="120" w:line="240" w:lineRule="auto"/>
      </w:pPr>
      <w:r>
        <w:rPr>
          <w:rFonts w:ascii="Times New Roman" w:hAnsi="Times New Roman"/>
          <w:sz w:val="20"/>
        </w:rPr>
        <w:t xml:space="preserve">Security testing formed the core of the evaluation and was deliberately adversarial and non-simulated, running real attacker tools against the live production backend and a release build of the Android application package. The suite comprised nineteen automated tests, executed through a dedicated security dashboard, and sixteen manual tests that depended on physical hardware or visual evidence; the tooling included jadx and apktool for reverse engineering, mitmproxy and Burp Suite for traffic interception, Wireshark, Frida, the Android Debug Bridge, and snarkjs for generating genuine zero-knowledge proofs. Tests were organised around the Confidentiality–Integrity–Availability (CIA) triad and mapped onto the Authentication–Authorisation–Accounting (AAA) model, with a test counting as passed only when the matching attack was demonstrably prevented. Every one of the nineteen automated and sixteen manual tests passed.</w:t>
      </w:r>
    </w:p>
    <w:p>
      <w:pPr>
        <w:jc w:val="both"/>
        <w:ind w:firstLine="274"/>
        <w:spacing w:after="120" w:line="240" w:lineRule="auto"/>
      </w:pPr>
      <w:r>
        <w:rPr>
          <w:rFonts w:ascii="Times New Roman" w:hAnsi="Times New Roman"/>
          <w:sz w:val="20"/>
        </w:rPr>
        <w:t xml:space="preserve">For confidentiality, a simulated database breach confirmed that the users table holds only Poseidon commitments, with no passwords, salts, or secrets; a live man-in-the-middle attack failed at the TLS layer because the Flutter network stack ignores user-installed certificate authorities; reverse engineering recovered only forty-seven Java shell classes and no Dart business logic, which is compiled ahead-of-time to native ARM64 code; and the message store held only Base64 Signal Protocol ciphertext. For integrity, a fabricated Groth16 proof was rejected with HTTP 400, a replayed proof failed because its single-use nonce had been consumed, four administrator-token forgery vectors (including an 'alg:none' bypass) were each rejected with HTTP 401, and device-bound session rotation defeated session hijacking. For availability, rate limiting rejected the eleventh request inside a minute with HTTP 429 and oversized bodies were rejected with HTTP 413. A dependency scan using the Node package auditor reported several mostly transitive advisories that are not directly reachable through the application's attack surface; this is retained as an honest limitation.</w:t>
      </w:r>
    </w:p>
    <w:p>
      <w:pPr>
        <w:jc w:val="left"/>
        <w:spacing w:after="40" w:line="240" w:lineRule="auto"/>
      </w:pPr>
      <w:r>
        <w:rPr>
          <w:rFonts w:ascii="Times New Roman" w:hAnsi="Times New Roman"/>
          <w:i/>
          <w:sz w:val="20"/>
        </w:rPr>
        <w:t xml:space="preserve">B. Machine-Learning Detection Performance</w:t>
      </w:r>
    </w:p>
    <w:p>
      <w:pPr>
        <w:jc w:val="both"/>
        <w:ind w:firstLine="274"/>
        <w:spacing w:after="120" w:line="240" w:lineRule="auto"/>
      </w:pPr>
      <w:r>
        <w:rPr>
          <w:rFonts w:ascii="Times New Roman" w:hAnsi="Times New Roman"/>
          <w:sz w:val="20"/>
        </w:rPr>
        <w:t>The on-device threat-detection model was assessed on a held-out validation set of 1,148 messages, which constituted 20 per cent of the labelled corpus and were never seen during training. Two models were compared: the Bidirectional LSTM research model and the Convolutional Neural Network (Conv1D) production model that ships on the device. The deployed Conv1D model reached an overall accuracy of 89.20 per cent, with balanced precision, recall, and F1-score of roughly 0.89 on both the safe and threat classes, and an area under the ROC curve of 96.21 per cent. The compact production model did not merely match the heavier research model on accuracy but edged slightly ahead of it (89.20 per cent versus 87.20 per cent for the Bi-LSTM), while remaining balanced across classes. Table 1 compares the two models.</w:t>
      </w:r>
    </w:p>
    <w:p>
      <w:pPr>
        <w:jc w:val="center"/>
        <w:spacing w:before="40" w:after="120"/>
      </w:pPr>
      <w:r>
        <w:rPr>
          <w:rFonts w:ascii="Times New Roman" w:hAnsi="Times New Roman"/>
          <w:sz w:val="18"/>
        </w:rPr>
        <w:t xml:space="preserve">Table 1: Model Performance Comparison (Conv1D vs Bi-LSTM)</w:t>
      </w:r>
    </w:p>
    <w:tbl>
      <w:tblPr>
        <w:tblStyle w:val="TableGrid"/>
        <w:tblW w:type="auto" w:w="0"/>
        <w:tblLook w:firstColumn="1" w:firstRow="1" w:lastColumn="0" w:lastRow="0" w:noHBand="0" w:noVBand="1" w:val="04A0"/>
      </w:tblPr>
      <w:tblGrid>
        <w:gridCol w:w="3723"/>
        <w:gridCol w:w="3723"/>
        <w:gridCol w:w="3723"/>
      </w:tblGrid>
      <w:tr>
        <w:tc>
          <w:tcPr>
            <w:tcW w:type="dxa" w:w="3723"/>
          </w:tcPr>
          <w:p>
            <w:pPr>
              <w:jc w:val="left"/>
            </w:pPr>
            <w:r/>
            <w:r>
              <w:rPr>
                <w:rFonts w:ascii="Times New Roman" w:hAnsi="Times New Roman"/>
                <w:b/>
                <w:sz w:val="16"/>
              </w:rPr>
              <w:t>Metric</w:t>
            </w:r>
          </w:p>
        </w:tc>
        <w:tc>
          <w:tcPr>
            <w:tcW w:type="dxa" w:w="3723"/>
          </w:tcPr>
          <w:p>
            <w:pPr>
              <w:jc w:val="center"/>
            </w:pPr>
            <w:r/>
            <w:r>
              <w:rPr>
                <w:rFonts w:ascii="Times New Roman" w:hAnsi="Times New Roman"/>
                <w:b/>
                <w:sz w:val="16"/>
              </w:rPr>
              <w:t>Bi-LSTM</w:t>
            </w:r>
          </w:p>
        </w:tc>
        <w:tc>
          <w:tcPr>
            <w:tcW w:type="dxa" w:w="3723"/>
          </w:tcPr>
          <w:p>
            <w:pPr>
              <w:jc w:val="center"/>
            </w:pPr>
            <w:r/>
            <w:r>
              <w:rPr>
                <w:rFonts w:ascii="Times New Roman" w:hAnsi="Times New Roman"/>
                <w:b/>
                <w:sz w:val="16"/>
              </w:rPr>
              <w:t>Conv1D (deployed)</w:t>
            </w:r>
          </w:p>
        </w:tc>
      </w:tr>
      <w:tr>
        <w:tc>
          <w:tcPr>
            <w:tcW w:type="dxa" w:w="3723"/>
          </w:tcPr>
          <w:p>
            <w:pPr>
              <w:jc w:val="left"/>
            </w:pPr>
            <w:r/>
            <w:r>
              <w:rPr>
                <w:rFonts w:ascii="Times New Roman" w:hAnsi="Times New Roman"/>
                <w:b w:val="0"/>
                <w:sz w:val="16"/>
              </w:rPr>
              <w:t>Overall accuracy</w:t>
            </w:r>
          </w:p>
        </w:tc>
        <w:tc>
          <w:tcPr>
            <w:tcW w:type="dxa" w:w="3723"/>
          </w:tcPr>
          <w:p>
            <w:pPr>
              <w:jc w:val="center"/>
            </w:pPr>
            <w:r/>
            <w:r>
              <w:rPr>
                <w:rFonts w:ascii="Times New Roman" w:hAnsi="Times New Roman"/>
                <w:b w:val="0"/>
                <w:sz w:val="16"/>
              </w:rPr>
              <w:t>87.20%</w:t>
            </w:r>
          </w:p>
        </w:tc>
        <w:tc>
          <w:tcPr>
            <w:tcW w:type="dxa" w:w="3723"/>
          </w:tcPr>
          <w:p>
            <w:pPr>
              <w:jc w:val="center"/>
            </w:pPr>
            <w:r/>
            <w:r>
              <w:rPr>
                <w:rFonts w:ascii="Times New Roman" w:hAnsi="Times New Roman"/>
                <w:b w:val="0"/>
                <w:sz w:val="16"/>
              </w:rPr>
              <w:t>89.20%</w:t>
            </w:r>
          </w:p>
        </w:tc>
      </w:tr>
      <w:tr>
        <w:tc>
          <w:tcPr>
            <w:tcW w:type="dxa" w:w="3723"/>
          </w:tcPr>
          <w:p>
            <w:pPr>
              <w:jc w:val="left"/>
            </w:pPr>
            <w:r/>
            <w:r>
              <w:rPr>
                <w:rFonts w:ascii="Times New Roman" w:hAnsi="Times New Roman"/>
                <w:b w:val="0"/>
                <w:sz w:val="16"/>
              </w:rPr>
              <w:t>Precision (threat)</w:t>
            </w:r>
          </w:p>
        </w:tc>
        <w:tc>
          <w:tcPr>
            <w:tcW w:type="dxa" w:w="3723"/>
          </w:tcPr>
          <w:p>
            <w:pPr>
              <w:jc w:val="center"/>
            </w:pPr>
            <w:r/>
            <w:r>
              <w:rPr>
                <w:rFonts w:ascii="Times New Roman" w:hAnsi="Times New Roman"/>
                <w:b w:val="0"/>
                <w:sz w:val="16"/>
              </w:rPr>
              <w:t>82.07%</w:t>
            </w:r>
          </w:p>
        </w:tc>
        <w:tc>
          <w:tcPr>
            <w:tcW w:type="dxa" w:w="3723"/>
          </w:tcPr>
          <w:p>
            <w:pPr>
              <w:jc w:val="center"/>
            </w:pPr>
            <w:r/>
            <w:r>
              <w:rPr>
                <w:rFonts w:ascii="Times New Roman" w:hAnsi="Times New Roman"/>
                <w:b w:val="0"/>
                <w:sz w:val="16"/>
              </w:rPr>
              <w:t>88.69%</w:t>
            </w:r>
          </w:p>
        </w:tc>
      </w:tr>
      <w:tr>
        <w:tc>
          <w:tcPr>
            <w:tcW w:type="dxa" w:w="3723"/>
          </w:tcPr>
          <w:p>
            <w:pPr>
              <w:jc w:val="left"/>
            </w:pPr>
            <w:r/>
            <w:r>
              <w:rPr>
                <w:rFonts w:ascii="Times New Roman" w:hAnsi="Times New Roman"/>
                <w:b w:val="0"/>
                <w:sz w:val="16"/>
              </w:rPr>
              <w:t>Recall (threat)</w:t>
            </w:r>
          </w:p>
        </w:tc>
        <w:tc>
          <w:tcPr>
            <w:tcW w:type="dxa" w:w="3723"/>
          </w:tcPr>
          <w:p>
            <w:pPr>
              <w:jc w:val="center"/>
            </w:pPr>
            <w:r/>
            <w:r>
              <w:rPr>
                <w:rFonts w:ascii="Times New Roman" w:hAnsi="Times New Roman"/>
                <w:b w:val="0"/>
                <w:sz w:val="16"/>
              </w:rPr>
              <w:t>94.48%</w:t>
            </w:r>
          </w:p>
        </w:tc>
        <w:tc>
          <w:tcPr>
            <w:tcW w:type="dxa" w:w="3723"/>
          </w:tcPr>
          <w:p>
            <w:pPr>
              <w:jc w:val="center"/>
            </w:pPr>
            <w:r/>
            <w:r>
              <w:rPr>
                <w:rFonts w:ascii="Times New Roman" w:hAnsi="Times New Roman"/>
                <w:b w:val="0"/>
                <w:sz w:val="16"/>
              </w:rPr>
              <w:t>89.32%</w:t>
            </w:r>
          </w:p>
        </w:tc>
      </w:tr>
      <w:tr>
        <w:tc>
          <w:tcPr>
            <w:tcW w:type="dxa" w:w="3723"/>
          </w:tcPr>
          <w:p>
            <w:pPr>
              <w:jc w:val="left"/>
            </w:pPr>
            <w:r/>
            <w:r>
              <w:rPr>
                <w:rFonts w:ascii="Times New Roman" w:hAnsi="Times New Roman"/>
                <w:b w:val="0"/>
                <w:sz w:val="16"/>
              </w:rPr>
              <w:t>F1-score (threat)</w:t>
            </w:r>
          </w:p>
        </w:tc>
        <w:tc>
          <w:tcPr>
            <w:tcW w:type="dxa" w:w="3723"/>
          </w:tcPr>
          <w:p>
            <w:pPr>
              <w:jc w:val="center"/>
            </w:pPr>
            <w:r/>
            <w:r>
              <w:rPr>
                <w:rFonts w:ascii="Times New Roman" w:hAnsi="Times New Roman"/>
                <w:b w:val="0"/>
                <w:sz w:val="16"/>
              </w:rPr>
              <w:t>87.84%</w:t>
            </w:r>
          </w:p>
        </w:tc>
        <w:tc>
          <w:tcPr>
            <w:tcW w:type="dxa" w:w="3723"/>
          </w:tcPr>
          <w:p>
            <w:pPr>
              <w:jc w:val="center"/>
            </w:pPr>
            <w:r/>
            <w:r>
              <w:rPr>
                <w:rFonts w:ascii="Times New Roman" w:hAnsi="Times New Roman"/>
                <w:b w:val="0"/>
                <w:sz w:val="16"/>
              </w:rPr>
              <w:t>89.01%</w:t>
            </w:r>
          </w:p>
        </w:tc>
      </w:tr>
      <w:tr>
        <w:tc>
          <w:tcPr>
            <w:tcW w:type="dxa" w:w="3723"/>
          </w:tcPr>
          <w:p>
            <w:pPr>
              <w:jc w:val="left"/>
            </w:pPr>
            <w:r/>
            <w:r>
              <w:rPr>
                <w:rFonts w:ascii="Times New Roman" w:hAnsi="Times New Roman"/>
                <w:b w:val="0"/>
                <w:sz w:val="16"/>
              </w:rPr>
              <w:t>AUC-ROC</w:t>
            </w:r>
          </w:p>
        </w:tc>
        <w:tc>
          <w:tcPr>
            <w:tcW w:type="dxa" w:w="3723"/>
          </w:tcPr>
          <w:p>
            <w:pPr>
              <w:jc w:val="center"/>
            </w:pPr>
            <w:r/>
            <w:r>
              <w:rPr>
                <w:rFonts w:ascii="Times New Roman" w:hAnsi="Times New Roman"/>
                <w:b w:val="0"/>
                <w:sz w:val="16"/>
              </w:rPr>
              <w:t>96.40%</w:t>
            </w:r>
          </w:p>
        </w:tc>
        <w:tc>
          <w:tcPr>
            <w:tcW w:type="dxa" w:w="3723"/>
          </w:tcPr>
          <w:p>
            <w:pPr>
              <w:jc w:val="center"/>
            </w:pPr>
            <w:r/>
            <w:r>
              <w:rPr>
                <w:rFonts w:ascii="Times New Roman" w:hAnsi="Times New Roman"/>
                <w:b w:val="0"/>
                <w:sz w:val="16"/>
              </w:rPr>
              <w:t>96.21%</w:t>
            </w:r>
          </w:p>
        </w:tc>
      </w:tr>
      <w:tr>
        <w:tc>
          <w:tcPr>
            <w:tcW w:type="dxa" w:w="3723"/>
          </w:tcPr>
          <w:p>
            <w:pPr>
              <w:jc w:val="left"/>
            </w:pPr>
            <w:r/>
            <w:r>
              <w:rPr>
                <w:rFonts w:ascii="Times New Roman" w:hAnsi="Times New Roman"/>
                <w:b w:val="0"/>
                <w:sz w:val="16"/>
              </w:rPr>
              <w:t>Model size</w:t>
            </w:r>
          </w:p>
        </w:tc>
        <w:tc>
          <w:tcPr>
            <w:tcW w:type="dxa" w:w="3723"/>
          </w:tcPr>
          <w:p>
            <w:pPr>
              <w:jc w:val="center"/>
            </w:pPr>
            <w:r/>
            <w:r>
              <w:rPr>
                <w:rFonts w:ascii="Times New Roman" w:hAnsi="Times New Roman"/>
                <w:b w:val="0"/>
                <w:sz w:val="16"/>
              </w:rPr>
              <w:t>7.68 MB</w:t>
            </w:r>
          </w:p>
        </w:tc>
        <w:tc>
          <w:tcPr>
            <w:tcW w:type="dxa" w:w="3723"/>
          </w:tcPr>
          <w:p>
            <w:pPr>
              <w:jc w:val="center"/>
            </w:pPr>
            <w:r/>
            <w:r>
              <w:rPr>
                <w:rFonts w:ascii="Times New Roman" w:hAnsi="Times New Roman"/>
                <w:b w:val="0"/>
                <w:sz w:val="16"/>
              </w:rPr>
              <w:t>0.68 MB</w:t>
            </w:r>
          </w:p>
        </w:tc>
      </w:tr>
    </w:tbl>
    <w:p>
      <w:pPr>
        <w:jc w:val="both"/>
        <w:ind w:firstLine="274"/>
        <w:spacing w:after="120" w:line="240" w:lineRule="auto"/>
      </w:pPr>
      <w:r>
        <w:rPr>
          <w:rFonts w:ascii="Times New Roman" w:hAnsi="Times New Roman"/>
          <w:sz w:val="20"/>
        </w:rPr>
        <w:t xml:space="preserve">On the confusion matrix, the deployed model correctly flagged 502 of the 562 true-threat messages while missing 60, and passed 522 of the 586 safe messages while raising 64 false positives. The predicted-score distribution showed the great majority of safe messages clustered near zero and threats near one, with the 0.65 decision threshold separating the two populations cleanly. Three functional tests further confirmed correct behaviour: known phishing and social-engineering messages scored above the 0.65 threshold, benign messages fell below 0.5, and messages shorter than four words were skipped to avoid out-of-vocabulary noise, all of which passed. Notably, the entire model occupies under one megabyte (0.68 MB) and runs wholly on-device, demonstrating that a convolutional feature extractor is a competitive choice for short-text classification rather than merely a concession to mobile constraints.</w:t>
      </w:r>
    </w:p>
    <w:p>
      <w:pPr>
        <w:jc w:val="left"/>
        <w:spacing w:after="40" w:line="240" w:lineRule="auto"/>
      </w:pPr>
      <w:r>
        <w:rPr>
          <w:rFonts w:ascii="Times New Roman" w:hAnsi="Times New Roman"/>
          <w:i/>
          <w:sz w:val="20"/>
        </w:rPr>
        <w:t xml:space="preserve">C. User Acceptance Testing</w:t>
      </w:r>
    </w:p>
    <w:p>
      <w:pPr>
        <w:jc w:val="both"/>
        <w:ind w:firstLine="274"/>
        <w:spacing w:after="120" w:line="240" w:lineRule="auto"/>
      </w:pPr>
      <w:r>
        <w:rPr>
          <w:rFonts w:ascii="Times New Roman" w:hAnsi="Times New Roman"/>
          <w:sz w:val="20"/>
        </w:rPr>
        <w:t>User acceptance testing confirmed that the system is usable by its intended audience of non-specialist SME staff. Five employees of NISHA SUTERA PRIMA (n = 5), drawn from administrative, finance, operations, human-resource, and managerial roles, each completed representative tasks—registering an account, logging in through the web-portal bridge, sending and receiving messages, and responding to a threat warning—before rating the system on a five-point Likert scale. The overall mean satisfaction reached 4.32 out of 5 (86.4 per cent). The naturalness of messaging and the willingness to trust the application for confidential work both rated highest at 4.6, indicating that the security mechanisms did not undermine user confidence. The two lower-scoring statements, ease of setup and login and the sense that security did not slow daily tasks, each scored 4.0, consistent with the design: the web-assisted login bridge introduces an unfamiliar step and the two-to-three-second proof-generation time is occasionally noticeable. The study was positive but limited in scale to a single organisation. Figure 2 shows the mean score for each questionnaire item.</w:t>
      </w:r>
    </w:p>
    <w:p>
      <w:pPr>
        <w:jc w:val="center"/>
      </w:pPr>
      <w:r>
        <w:drawing>
          <wp:inline xmlns:a="http://schemas.openxmlformats.org/drawingml/2006/main" xmlns:pic="http://schemas.openxmlformats.org/drawingml/2006/picture">
            <wp:extent cx="3063240" cy="1576486"/>
            <wp:docPr id="2" name="Picture 2"/>
            <wp:cNvGraphicFramePr>
              <a:graphicFrameLocks noChangeAspect="1"/>
            </wp:cNvGraphicFramePr>
            <a:graphic>
              <a:graphicData uri="http://schemas.openxmlformats.org/drawingml/2006/picture">
                <pic:pic>
                  <pic:nvPicPr>
                    <pic:cNvPr id="0" name="uat_mean_scores.png"/>
                    <pic:cNvPicPr/>
                  </pic:nvPicPr>
                  <pic:blipFill>
                    <a:blip r:embed="rId13"/>
                    <a:stretch>
                      <a:fillRect/>
                    </a:stretch>
                  </pic:blipFill>
                  <pic:spPr>
                    <a:xfrm>
                      <a:off x="0" y="0"/>
                      <a:ext cx="3063240" cy="1576486"/>
                    </a:xfrm>
                    <a:prstGeom prst="rect"/>
                  </pic:spPr>
                </pic:pic>
              </a:graphicData>
            </a:graphic>
          </wp:inline>
        </w:drawing>
      </w:r>
    </w:p>
    <w:p>
      <w:pPr>
        <w:jc w:val="center"/>
        <w:spacing w:before="40" w:after="120"/>
      </w:pPr>
      <w:r>
        <w:rPr>
          <w:rFonts w:ascii="Times New Roman" w:hAnsi="Times New Roman"/>
          <w:sz w:val="18"/>
        </w:rPr>
        <w:t xml:space="preserve">Figure 2: User Acceptance Testing — Mean Score per Question (n = 5)</w:t>
      </w:r>
    </w:p>
    <w:p>
      <w:pPr>
        <w:jc w:val="left"/>
        <w:spacing w:after="60" w:line="240" w:lineRule="auto"/>
      </w:pPr>
      <w:r>
        <w:rPr>
          <w:rFonts w:ascii="Times New Roman" w:hAnsi="Times New Roman"/>
          <w:smallCaps/>
          <w:sz w:val="20"/>
        </w:rPr>
        <w:t xml:space="preserve">V. Discussion</w:t>
      </w:r>
    </w:p>
    <w:p>
      <w:pPr>
        <w:jc w:val="both"/>
        <w:ind w:firstLine="274"/>
        <w:spacing w:after="120" w:line="240" w:lineRule="auto"/>
      </w:pPr>
      <w:r>
        <w:rPr>
          <w:rFonts w:ascii="Times New Roman" w:hAnsi="Times New Roman"/>
          <w:sz w:val="20"/>
        </w:rPr>
        <w:t xml:space="preserve">The evaluation confirms that the three project objectives were met and, taken together, that the central premise of SentriZK holds: an SME need not choose between protecting employee privacy and detecting threats. The successful database-breach and traffic-interception tests demonstrate that authentication can proceed without the server ever holding a credential, the Supabase users table retaining only Poseidon commitments while all message content remains stored as Signal Protocol ciphertext. This realises in practice the principle of auditability without visibility raised in the reviewed literature, and it does so on affordable, self-hosted infrastructure deployable on a Raspberry Pi 5 for a one-time outlay of roughly RM 80.</w:t>
      </w:r>
    </w:p>
    <w:p>
      <w:pPr>
        <w:jc w:val="both"/>
        <w:ind w:firstLine="274"/>
        <w:spacing w:after="120" w:line="240" w:lineRule="auto"/>
      </w:pPr>
      <w:r>
        <w:rPr>
          <w:rFonts w:ascii="Times New Roman" w:hAnsi="Times New Roman"/>
          <w:sz w:val="20"/>
        </w:rPr>
        <w:t xml:space="preserve">The privacy-versus-detection trade-off, framed in the literature as a binary choice between encrypting and losing visibility or monitoring and losing privacy, is resolved here by relocating the analysis to the device. Because the quantised Conv1D model inspects messages before the encryption layer, it identifies phishing and social-engineering content locally without any cleartext leaving the endpoint, preserving the confidentiality guarantee of end-to-end encryption while restoring the threat visibility that encryption ordinarily removes. The detection accuracy of 89.2 per cent and ROC AUC of 96.2 per cent sit slightly below the headline figures reported for specialised mobile detectors such as PHILDER and TinyBERT, a gap attributable to the modest labelled corpus, the short-text nature of the task, and the deliberately conservative 0.65 decision threshold. Yet these results come from a model of only 0.68 MB, consistent with the size-accuracy trade-off identified in the edge-AI literature. Notably, the lightweight convolutional model slightly outperformed the heavier Bi-LSTM recurrent model overall (89.20 per cent versus 87.20 per cent), suggesting that for short-text classification a convolutional feature extractor is a competitive choice rather than merely a concession to mobile constraints.</w:t>
      </w:r>
    </w:p>
    <w:p>
      <w:pPr>
        <w:jc w:val="both"/>
        <w:ind w:firstLine="274"/>
        <w:spacing w:after="120" w:line="240" w:lineRule="auto"/>
      </w:pPr>
      <w:r>
        <w:rPr>
          <w:rFonts w:ascii="Times New Roman" w:hAnsi="Times New Roman"/>
          <w:sz w:val="20"/>
        </w:rPr>
        <w:t xml:space="preserve">Feasibility on resource-limited hardware is further supported by the performance figures: Groth16 proof generation completed in two to three seconds, server-side verification in well under a tenth of a second, and on-device inference in about one hundred milliseconds, confirming that the cryptographic and machine-learning workloads run on consumer hardware without harming the user experience. The user-acceptance rating of 4.32 out of 5 (n = 5) corroborates this, though the lower scores for login setup reflect the unfamiliar web-assisted proving step.</w:t>
      </w:r>
    </w:p>
    <w:p>
      <w:pPr>
        <w:jc w:val="both"/>
        <w:ind w:firstLine="274"/>
        <w:spacing w:after="120" w:line="240" w:lineRule="auto"/>
      </w:pPr>
      <w:r>
        <w:rPr>
          <w:rFonts w:ascii="Times New Roman" w:hAnsi="Times New Roman"/>
          <w:sz w:val="20"/>
        </w:rPr>
        <w:t xml:space="preserve">Testing also surfaced honest limitations. The dependency scan reported transitive vulnerabilities; the sender-side scan runs silently rather than blocking risky messages; the messaging layer falls back to plaintext where no encryption bundle exists; the trust-on-first-use key model trades strict man-in-the-middle protection for usability; the local database is unencrypted at rest; and the user-acceptance study was limited to five participants from a single organisation. None undermine the core result, but together they define a clear agenda for future work.</w:t>
      </w:r>
    </w:p>
    <w:p>
      <w:pPr>
        <w:jc w:val="left"/>
        <w:spacing w:after="60" w:line="240" w:lineRule="auto"/>
      </w:pPr>
      <w:r>
        <w:rPr>
          <w:rFonts w:ascii="Times New Roman" w:hAnsi="Times New Roman"/>
          <w:smallCaps/>
          <w:sz w:val="20"/>
        </w:rPr>
        <w:t xml:space="preserve">VI. Conclusion &amp; Future Work</w:t>
      </w:r>
    </w:p>
    <w:p>
      <w:pPr>
        <w:jc w:val="both"/>
        <w:ind w:firstLine="274"/>
        <w:spacing w:after="120" w:line="240" w:lineRule="auto"/>
      </w:pPr>
      <w:r>
        <w:rPr>
          <w:rFonts w:ascii="Times New Roman" w:hAnsi="Times New Roman"/>
          <w:sz w:val="20"/>
        </w:rPr>
        <w:t xml:space="preserve">This paper has presented SentriZK, a secure internal chat application for small and medium enterprises that reconciles the long-standing tension between privacy and security by uniting three technologies within a single low-cost system: Zero-Knowledge Proof authentication built on Circom circuits and the Groth16 proving system with a single-use Mobile Access Token bridge, end-to-end encryption built on the Signal Protocol, and on-device AI threat detection built on a quantised convolutional neural network. The three project objectives were met in full. The literature was analysed and its central gap identified, namely the absence of any solution uniting password-less authentication with private, on-device behavioural detection; a working integrated prototype (release 1.0.8) was constructed, with all twelve functional test cases passing; and the system was shown to be both functionally complete and resilient, withstanding all nineteen automated and sixteen manual adversarial security tests organised around the Confidentiality-Integrity-Availability triad.</w:t>
      </w:r>
    </w:p>
    <w:p>
      <w:pPr>
        <w:jc w:val="both"/>
        <w:ind w:firstLine="274"/>
        <w:spacing w:after="120" w:line="240" w:lineRule="auto"/>
      </w:pPr>
      <w:r>
        <w:rPr>
          <w:rFonts w:ascii="Times New Roman" w:hAnsi="Times New Roman"/>
          <w:sz w:val="20"/>
        </w:rPr>
        <w:t xml:space="preserve">The evaluation confirms that the privacy-security trade-off is not inevitable. Simulated database-breach and traffic-interception tests verified that the server holds no credentials and that messages are never exposed, while the on-device detector still identifies malicious content locally, realising in practice the principle of auditability without visibility. The detection model reached an accuracy of 89.2 per cent and an area under the ROC curve of 96.2 per cent in a model of only 0.68 MB, and the lightweight convolutional architecture slightly outperformed the heavier Bi-LSTM model overall, showing that a convolutional feature extractor is a competitive choice for short-message classification rather than merely a concession to mobile constraints. Groth16 proofs generated in two to three seconds confirmed that zk-SNARK authentication is feasible on consumer hardware, and the system earned an overall user-acceptance rating of 4.32 out of 5.</w:t>
      </w:r>
    </w:p>
    <w:p>
      <w:pPr>
        <w:jc w:val="both"/>
        <w:ind w:firstLine="274"/>
        <w:spacing w:after="120" w:line="240" w:lineRule="auto"/>
      </w:pPr>
      <w:r>
        <w:rPr>
          <w:rFonts w:ascii="Times New Roman" w:hAnsi="Times New Roman"/>
          <w:sz w:val="20"/>
        </w:rPr>
        <w:t xml:space="preserve">Several directions remain for future work. The detection model could grow from short-text classification into genuine behavioural anomaly detection, modelling unusual login times, message frequencies and sending patterns, and could be made multilingual and retrained on a larger dataset gathered continuously, perhaps through federated learning so that the model improves while no private data ever leaves the device. On the cryptographic side, the prospect of future quantum threats argues for migrating the key-exchange and proving systems towards post-quantum-resistant primitives. Finally, the deployment and user-acceptance study, conducted on Android with five participants from a single organisation, should be widened to larger-scale, cross-platform trials to validate the findings more broadly. Taken together, these directions would evolve SentriZK from a working proof of concept into a reliable, forward-looking platform, and the prototype stands as evidence that privacy-preserving, intelligent, and affordable secure messaging is achievable on everyday consumer hardware.</w:t>
      </w:r>
    </w:p>
    <w:p>
      <w:pPr>
        <w:jc w:val="left"/>
        <w:spacing w:after="60" w:line="240" w:lineRule="auto"/>
      </w:pPr>
      <w:r>
        <w:rPr>
          <w:rFonts w:ascii="Times New Roman" w:hAnsi="Times New Roman"/>
          <w:smallCaps/>
          <w:sz w:val="20"/>
        </w:rPr>
        <w:t xml:space="preserve">Acknowledgment</w:t>
      </w:r>
    </w:p>
    <w:p>
      <w:pPr>
        <w:jc w:val="both"/>
        <w:ind w:firstLine="274"/>
        <w:spacing w:after="120" w:line="240" w:lineRule="auto"/>
      </w:pPr>
      <w:r>
        <w:rPr>
          <w:rFonts w:ascii="Times New Roman" w:hAnsi="Times New Roman"/>
          <w:sz w:val="20"/>
        </w:rPr>
        <w:t xml:space="preserve">The author thanks Dr Delina Beh Mei Yin for her supervision and guidance throughout this project, and NISHA SUTERA ENTERPRISE for participating in the user acceptance testing.</w:t>
      </w:r>
    </w:p>
    <w:p>
      <w:pPr>
        <w:jc w:val="left"/>
        <w:spacing w:after="60" w:line="240" w:lineRule="auto"/>
      </w:pPr>
      <w:r>
        <w:rPr>
          <w:rFonts w:ascii="Times New Roman" w:hAnsi="Times New Roman"/>
          <w:smallCaps/>
          <w:sz w:val="20"/>
        </w:rPr>
        <w:t xml:space="preserve">References</w:t>
      </w:r>
    </w:p>
    <w:p>
      <w:pPr>
        <w:jc w:val="left"/>
        <w:spacing w:after="40" w:line="240" w:lineRule="auto"/>
      </w:pPr>
      <w:r>
        <w:rPr>
          <w:rFonts w:ascii="Times New Roman" w:hAnsi="Times New Roman"/>
          <w:sz w:val="18"/>
        </w:rPr>
        <w:t xml:space="preserve">[1]	M. Ilesanmi, "Threat modeling for enterprise secure messaging applications," 2025. (unpublished)</w:t>
      </w:r>
    </w:p>
    <w:p>
      <w:pPr>
        <w:jc w:val="left"/>
        <w:spacing w:after="40" w:line="240" w:lineRule="auto"/>
      </w:pPr>
      <w:r>
        <w:rPr>
          <w:rFonts w:ascii="Times New Roman" w:hAnsi="Times New Roman"/>
          <w:sz w:val="18"/>
        </w:rPr>
        <w:t xml:space="preserve">[2]	M. Alatawi and N. Saxena, "SoK: An analysis of end-to-end encryption and authentication ceremonies in secure messaging systems," in Proc. 16th ACM Conf. Security and Privacy in Wireless and Mobile Networks (WiSec '23), Guildford, U.K., 2023, pp. 187-201, doi: 10.1145/3558482.3581773.</w:t>
      </w:r>
    </w:p>
    <w:p>
      <w:pPr>
        <w:jc w:val="left"/>
        <w:spacing w:after="40" w:line="240" w:lineRule="auto"/>
      </w:pPr>
      <w:r>
        <w:rPr>
          <w:rFonts w:ascii="Times New Roman" w:hAnsi="Times New Roman"/>
          <w:sz w:val="18"/>
        </w:rPr>
        <w:t xml:space="preserve">[3]	M. J. P. Perkasa, H. M. Ramdan, A. J. Maliki, and Somantri, "Implementation of secure end-to-end encrypted chat application using Diffie-Hellman key exchange and AES-256 in a microservice architecture," Eng. Proc., vol. 107, no. 1, art. 98, 2025, doi: 10.3390/engproc2025107098.</w:t>
      </w:r>
    </w:p>
    <w:p>
      <w:pPr>
        <w:jc w:val="left"/>
        <w:spacing w:after="40" w:line="240" w:lineRule="auto"/>
      </w:pPr>
      <w:r>
        <w:rPr>
          <w:rFonts w:ascii="Times New Roman" w:hAnsi="Times New Roman"/>
          <w:sz w:val="18"/>
        </w:rPr>
        <w:t xml:space="preserve">[4]	F. R. Alzaabi and A. Mehmood, "A review of recent advances, challenges, and opportunities in malicious insider threat detection using machine learning methods," IEEE Access, vol. 12, pp. 30907-30927, 2024, doi: 10.1109/ACCESS.2024.3369906.</w:t>
      </w:r>
    </w:p>
    <w:p>
      <w:pPr>
        <w:jc w:val="left"/>
        <w:spacing w:after="40" w:line="240" w:lineRule="auto"/>
      </w:pPr>
      <w:r>
        <w:rPr>
          <w:rFonts w:ascii="Times New Roman" w:hAnsi="Times New Roman"/>
          <w:sz w:val="18"/>
        </w:rPr>
        <w:t xml:space="preserve">[5]	K. Srinivasan, G. S. Chauhan, and M. Almahdi, "Insider threat detection and secure data transfer leveraging bidirectional LSTM with grouped orthogonal initialization and swish activation," International Journal of Digital Innovation and Discoveries, pp. 15-21, 2025.</w:t>
      </w:r>
    </w:p>
    <w:p>
      <w:pPr>
        <w:jc w:val="left"/>
        <w:spacing w:after="40" w:line="240" w:lineRule="auto"/>
      </w:pPr>
      <w:r>
        <w:rPr>
          <w:rFonts w:ascii="Times New Roman" w:hAnsi="Times New Roman"/>
          <w:sz w:val="18"/>
        </w:rPr>
        <w:t xml:space="preserve">[6]	S. Natha, M. Leghari, M. A. Rajput, S. S. Zia, and J. Shabir, "A Systematic Review of Anomaly Detection Using Machine and Deep Learning Techniques," Quaid-e-Awam Univ. Res. J. Eng. Sci. Technol. (QUEST Research Journal), vol. 20, no. 1, pp. 83-94, Jan.-Jun. 2022, doi: 10.52584/QRJ.2001.11.</w:t>
      </w:r>
    </w:p>
    <w:p>
      <w:pPr>
        <w:jc w:val="left"/>
        <w:spacing w:after="40" w:line="240" w:lineRule="auto"/>
      </w:pPr>
      <w:r>
        <w:rPr>
          <w:rFonts w:ascii="Times New Roman" w:hAnsi="Times New Roman"/>
          <w:sz w:val="18"/>
        </w:rPr>
        <w:t xml:space="preserve">[7]	A. Gaurav, B. B. Gupta, and K. T. Chui, "AI-Driven Smishing Detection in Android Devices Using TinyBERT and Aquila Optimization," in Proc. 27th Int. Conf. Advanced Communications Technology (ICACT), 2025, pp. 99-105, ISBN: 979-11-88428-13-7.</w:t>
      </w:r>
    </w:p>
    <w:p>
      <w:pPr>
        <w:jc w:val="left"/>
        <w:spacing w:after="40" w:line="240" w:lineRule="auto"/>
      </w:pPr>
      <w:r>
        <w:rPr>
          <w:rFonts w:ascii="Times New Roman" w:hAnsi="Times New Roman"/>
          <w:sz w:val="18"/>
        </w:rPr>
        <w:t xml:space="preserve">[8]	G. D. Bispo, C. A. B. de Andrade, G. M. Saiki, R. V. Borges, A. L. M. Serrano, G. P. Rocha Filho, and V. P. Goncalves, "PHILDER: Lightweight framework for intelligent phishing detection on resource-limited devices," IEEE Access, vol. 13, pp. 131967-131979, 2025, doi: 10.1109/ACCESS.2025.3592541.</w:t>
      </w:r>
    </w:p>
    <w:p>
      <w:pPr>
        <w:jc w:val="left"/>
        <w:spacing w:after="40" w:line="240" w:lineRule="auto"/>
      </w:pPr>
      <w:r>
        <w:rPr>
          <w:rFonts w:ascii="Times New Roman" w:hAnsi="Times New Roman"/>
          <w:sz w:val="18"/>
        </w:rPr>
        <w:t xml:space="preserve">[9]	A. Karim, M. Shahroz, K. Mustofa, S. B. Belhaouari, and S. R. K. Joga, "Phishing detection system through hybrid machine learning based on URL," IEEE Access, 2023, doi: 10.1109/ACCESS.2023.3252366.</w:t>
      </w:r>
    </w:p>
    <w:p>
      <w:pPr>
        <w:jc w:val="left"/>
        <w:spacing w:after="40" w:line="240" w:lineRule="auto"/>
      </w:pPr>
      <w:r>
        <w:rPr>
          <w:rFonts w:ascii="Times New Roman" w:hAnsi="Times New Roman"/>
          <w:sz w:val="18"/>
        </w:rPr>
        <w:t xml:space="preserve">[10]	S. Bhattacharya, D. Seth, S. Panyam, and P. Gangrade, "Enhancing digital privacy: The application of zero-knowledge proofs in authentication systems," International Journal of Computer Trends and Technology, vol. 72, no. 4, pp. 34-41, Apr. 2024, doi: 10.14445/22312803/IJCTT-V72I4P104.</w:t>
      </w:r>
    </w:p>
    <w:p>
      <w:pPr>
        <w:jc w:val="left"/>
        <w:spacing w:after="40" w:line="240" w:lineRule="auto"/>
      </w:pPr>
      <w:r>
        <w:rPr>
          <w:rFonts w:ascii="Times New Roman" w:hAnsi="Times New Roman"/>
          <w:sz w:val="18"/>
        </w:rPr>
        <w:t xml:space="preserve">[11]	Z. Chen, Y. Jiang, X. Song, and L. Chen, "A survey on zero-knowledge authentication for Internet of Things," Electronics, vol. 12, no. 5, art. 1145, 2023, doi: 10.3390/electronics12051145.</w:t>
      </w:r>
    </w:p>
    <w:p>
      <w:pPr>
        <w:jc w:val="left"/>
        <w:spacing w:after="40" w:line="240" w:lineRule="auto"/>
      </w:pPr>
      <w:r>
        <w:rPr>
          <w:rFonts w:ascii="Times New Roman" w:hAnsi="Times New Roman"/>
          <w:sz w:val="18"/>
        </w:rPr>
        <w:t xml:space="preserve">[12]	D. A. Luong and J. H. Park, "Privacy-Preserving Identity Management System on Blockchain Using zk-SNARK," IEEE Access, 2023, doi: 10.1109/ACCESS.2022.3233828.</w:t>
      </w:r>
    </w:p>
    <w:sectPr w:rsidR="00FC693F" w:rsidRPr="0006063C" w:rsidSect="00034616">
      <w:type w:val="continuous"/>
      <w:pgSz w:w="11909" w:h="16834"/>
      <w:pgMar w:top="1440" w:right="120" w:bottom="880" w:left="620" w:header="728" w:footer="694" w:gutter="0"/>
      <w:docGrid w:linePitch="360"/>
      <w:cols w:space="425" w:num="2"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Text"/>
      <w:spacing w:line="14" w:lineRule="auto"/>
    </w:pPr>
    <w:r>
      <w:rPr/>
      <w:pict>
        <v:shape style="position:absolute;margin-left:35.720001pt;margin-top:795.955444pt;width:171pt;height:10.95pt;mso-position-horizontal-relative:page;mso-position-vertical-relative:page;z-index:-15972864" type="#_x0000_t202" id="docshape14" filled="false" stroked="false">
          <v:textbox inset="0,0,0,0">
            <w:txbxContent>
              <w:p>
                <w:pPr>
                  <w:spacing w:before="14"/>
                  <w:ind w:left="20" w:right="0" w:firstLine="0"/>
                  <w:jc w:val="left"/>
                  <w:rPr>
                    <w:i/>
                    <w:sz w:val="16"/>
                  </w:rPr>
                </w:pPr>
                <w:r>
                  <w:rPr>
                    <w:sz w:val="16"/>
                  </w:rPr>
                  <w:t>e-ISSN:</w:t>
                </w:r>
                <w:r>
                  <w:rPr>
                    <w:spacing w:val="-4"/>
                    <w:sz w:val="16"/>
                  </w:rPr>
                  <w:t> </w:t>
                </w:r>
                <w:r>
                  <w:rPr>
                    <w:sz w:val="16"/>
                  </w:rPr>
                  <w:t>2550-1550</w:t>
                </w:r>
                <w:r>
                  <w:rPr>
                    <w:spacing w:val="-2"/>
                    <w:sz w:val="16"/>
                  </w:rPr>
                  <w:t> </w:t>
                </w:r>
                <w:r>
                  <w:rPr>
                    <w:sz w:val="16"/>
                  </w:rPr>
                  <w:t>©</w:t>
                </w:r>
                <w:r>
                  <w:rPr>
                    <w:spacing w:val="-6"/>
                    <w:sz w:val="16"/>
                  </w:rPr>
                  <w:t> </w:t>
                </w:r>
                <w:r>
                  <w:rPr>
                    <w:i/>
                    <w:sz w:val="16"/>
                  </w:rPr>
                  <w:t>2021</w:t>
                </w:r>
                <w:r>
                  <w:rPr>
                    <w:i/>
                    <w:spacing w:val="-5"/>
                    <w:sz w:val="16"/>
                  </w:rPr>
                  <w:t> </w:t>
                </w:r>
                <w:r>
                  <w:rPr>
                    <w:sz w:val="16"/>
                  </w:rPr>
                  <w:t>JTeC</w:t>
                </w:r>
                <w:r>
                  <w:rPr>
                    <w:spacing w:val="-4"/>
                    <w:sz w:val="16"/>
                  </w:rPr>
                  <w:t> </w:t>
                </w:r>
                <w:r>
                  <w:rPr>
                    <w:i/>
                    <w:sz w:val="16"/>
                  </w:rPr>
                  <w:t>All</w:t>
                </w:r>
                <w:r>
                  <w:rPr>
                    <w:i/>
                    <w:spacing w:val="-6"/>
                    <w:sz w:val="16"/>
                  </w:rPr>
                  <w:t> </w:t>
                </w:r>
                <w:r>
                  <w:rPr>
                    <w:i/>
                    <w:sz w:val="16"/>
                  </w:rPr>
                  <w:t>rights</w:t>
                </w:r>
                <w:r>
                  <w:rPr>
                    <w:i/>
                    <w:spacing w:val="-6"/>
                    <w:sz w:val="16"/>
                  </w:rPr>
                  <w:t> </w:t>
                </w:r>
                <w:r>
                  <w:rPr>
                    <w:i/>
                    <w:spacing w:val="-2"/>
                    <w:sz w:val="16"/>
                  </w:rPr>
                  <w:t>reserved</w:t>
                </w:r>
              </w:p>
            </w:txbxContent>
          </v:textbox>
          <w10:wrap type="none"/>
        </v:shape>
      </w:pict>
    </w:r>
    <w:r>
      <w:rPr/>
      <w:pict>
        <v:shape style="position:absolute;margin-left:535.880005pt;margin-top:795.955444pt;width:27.1pt;height:10.95pt;mso-position-horizontal-relative:page;mso-position-vertical-relative:page;z-index:-15972352" type="#_x0000_t202" id="docshape15" filled="false" stroked="false">
          <v:textbox inset="0,0,0,0">
            <w:txbxContent>
              <w:p>
                <w:pPr>
                  <w:spacing w:before="14"/>
                  <w:ind w:left="20" w:right="0" w:firstLine="0"/>
                  <w:jc w:val="left"/>
                  <w:rPr>
                    <w:sz w:val="14"/>
                  </w:rPr>
                </w:pPr>
                <w:r>
                  <w:rPr>
                    <w:i/>
                    <w:sz w:val="16"/>
                  </w:rPr>
                  <w:t>Page</w:t>
                </w:r>
                <w:r>
                  <w:rPr>
                    <w:i/>
                    <w:spacing w:val="-1"/>
                    <w:sz w:val="16"/>
                  </w:rPr>
                  <w:t> </w:t>
                </w:r>
                <w:r>
                  <w:rPr>
                    <w:spacing w:val="-10"/>
                    <w:sz w:val="14"/>
                  </w:rPr>
                  <w:fldChar w:fldCharType="begin"/>
                </w:r>
                <w:r>
                  <w:rPr>
                    <w:spacing w:val="-10"/>
                    <w:sz w:val="14"/>
                  </w:rPr>
                  <w:instrText> PAGE </w:instrText>
                </w:r>
                <w:r>
                  <w:rPr>
                    <w:spacing w:val="-10"/>
                    <w:sz w:val="14"/>
                  </w:rPr>
                  <w:fldChar w:fldCharType="separate"/>
                </w:r>
                <w:r>
                  <w:rPr>
                    <w:spacing w:val="-10"/>
                    <w:sz w:val="14"/>
                  </w:rPr>
                  <w:t>1</w:t>
                </w:r>
                <w:r>
                  <w:rPr>
                    <w:spacing w:val="-10"/>
                    <w:sz w:val="14"/>
                  </w:rPr>
                  <w:fldChar w:fldCharType="end"/>
                </w:r>
              </w:p>
            </w:txbxContent>
          </v:textbox>
          <w10:wrap type="none"/>
        </v:shape>
      </w:pic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Text"/>
      <w:spacing w:line="14" w:lineRule="auto"/>
    </w:pPr>
    <w:r>
      <w:rPr/>
      <w:pict>
        <v:group style="position:absolute;margin-left:34.5pt;margin-top:42.17593pt;width:523.7pt;height:19.6pt;mso-position-horizontal-relative:page;mso-position-vertical-relative:page;z-index:-15973888" id="docshapegroup1" coordorigin="690,844" coordsize="10474,392">
          <v:line style="position:absolute" from="690,1159" to="11133,1159" stroked="true" strokeweight="1pt" strokecolor="#000000">
            <v:stroke dashstyle="solid"/>
          </v:line>
          <v:shape style="position:absolute;left:10759;top:854;width:375;height:374" id="docshape2" coordorigin="10759,854" coordsize="375,374" path="m10946,854l10873,869,10814,909,10774,968,10759,1041,10774,1114,10814,1173,10873,1213,10946,1228,11019,1213,11079,1173,11096,1147,10946,1147,10905,1139,10871,1116,10848,1082,10840,1041,10848,1000,10871,966,10905,943,10946,935,11096,935,11079,909,11019,869,10946,854xm11096,935l10946,935,10988,943,11021,966,11044,1000,11052,1041,11044,1082,11021,1116,10988,1139,10946,1147,11096,1147,11119,1114,11133,1041,11119,968,11096,935xe" filled="true" fillcolor="#000000" stroked="false">
            <v:path arrowok="t"/>
            <v:fill type="solid"/>
          </v:shape>
          <v:shape style="position:absolute;left:10759;top:854;width:375;height:374" id="docshape3" coordorigin="10759,854" coordsize="375,374" path="m10759,1041l10774,968,10814,909,10873,869,10946,854,11019,869,11079,909,11119,968,11133,1041,11119,1114,11079,1173,11019,1213,10946,1228,10873,1213,10814,1173,10774,1114,10759,1041xm10840,1041l10848,1082,10871,1116,10905,1139,10946,1147,10988,1139,11021,1116,11044,1082,11052,1041,11044,1000,11021,966,10988,943,10946,935,10905,943,10871,966,10848,1000,10840,1041xe" filled="false" stroked="true" strokeweight=".75pt" strokecolor="#ffffff">
            <v:path arrowok="t"/>
            <v:stroke dashstyle="solid"/>
          </v:shape>
          <v:shape style="position:absolute;left:10972;top:932;width:181;height:200" id="docshape4" coordorigin="10973,933" coordsize="181,200" path="m11152,933l10973,1021,11153,1133,11152,933xe" filled="true" fillcolor="#ffffff" stroked="false">
            <v:path arrowok="t"/>
            <v:fill type="solid"/>
          </v:shape>
          <v:shape style="position:absolute;left:10972;top:932;width:181;height:200" id="docshape5" coordorigin="10973,933" coordsize="181,200" path="m10973,1021l11152,933,11153,1133,10973,1021xe" filled="false" stroked="true" strokeweight="1pt" strokecolor="#ffffff">
            <v:path arrowok="t"/>
            <v:stroke dashstyle="solid"/>
          </v:shape>
          <v:shape style="position:absolute;left:10127;top:851;width:316;height:374" id="docshape6" coordorigin="10127,851" coordsize="316,374" path="m10341,851l10296,851,10261,852,10257,870,10249,917,10268,918,10302,918,10334,919,10306,1046,10289,1105,10249,1151,10225,1157,10198,1155,10148,1142,10137,1175,10132,1193,10127,1219,10162,1225,10269,1218,10335,1189,10381,1104,10412,984,10427,915,10443,852,10341,851xe" filled="true" fillcolor="#000000" stroked="false">
            <v:path arrowok="t"/>
            <v:fill type="solid"/>
          </v:shape>
          <v:shape style="position:absolute;left:10127;top:851;width:316;height:374" id="docshape7" coordorigin="10127,851" coordsize="316,374" path="m10261,852l10296,851,10341,851,10392,852,10443,852,10427,915,10412,984,10397,1050,10366,1141,10310,1205,10214,1224,10162,1225,10127,1219,10132,1193,10137,1175,10142,1160,10148,1142,10172,1148,10198,1155,10225,1157,10249,1151,10289,1105,10306,1046,10323,966,10334,919,10302,918,10283,918,10268,918,10249,917,10252,899,10254,884,10257,870,10261,852xe" filled="false" stroked="true" strokeweight=".75pt" strokecolor="#ffffff">
            <v:path arrowok="t"/>
            <v:stroke dashstyle="solid"/>
          </v:shape>
          <v:shape style="position:absolute;left:10379;top:854;width:331;height:360" id="docshape8" coordorigin="10379,854" coordsize="331,360" path="m10710,854l10396,854,10388,888,10379,924,10413,924,10461,922,10489,923,10477,982,10457,1068,10436,1153,10420,1212,10513,1214,10528,1145,10546,1066,10565,989,10582,924,10686,926,10710,854xe" filled="true" fillcolor="#000000" stroked="false">
            <v:path arrowok="t"/>
            <v:fill type="solid"/>
          </v:shape>
          <v:shape style="position:absolute;left:10379;top:854;width:331;height:360" id="docshape9" coordorigin="10379,854" coordsize="331,360" path="m10396,854l10464,854,10558,854,10649,854,10710,854,10702,879,10697,894,10692,908,10686,926,10582,924,10565,989,10546,1066,10528,1145,10513,1214,10420,1212,10436,1153,10457,1068,10477,982,10489,923,10461,922,10438,923,10413,924,10379,924,10385,903,10388,888,10392,873,10396,854xe" filled="false" stroked="true" strokeweight=".75pt" strokecolor="#ffffff">
            <v:path arrowok="t"/>
            <v:stroke dashstyle="solid"/>
          </v:shape>
          <v:shape style="position:absolute;left:10569;top:918;width:288;height:288" id="docshape10" coordorigin="10569,918" coordsize="288,288" path="m10706,918l10652,931,10608,964,10578,1013,10569,1069,10582,1123,10615,1167,10663,1197,10720,1206,10773,1193,10818,1160,10823,1152,10707,1152,10674,1143,10646,1122,10747,1075,10624,1075,10623,1053,10628,1031,10638,1012,10653,995,10684,977,10718,972,10822,972,10811,957,10762,927,10706,918xm10855,1049l10802,1049,10802,1071,10797,1093,10787,1112,10772,1129,10741,1147,10707,1152,10823,1152,10848,1111,10856,1055,10855,1049xm10822,972l10718,972,10752,981,10780,1002,10624,1075,10747,1075,10802,1049,10855,1049,10843,1001,10822,972xe" filled="true" fillcolor="#7e7e7e" stroked="false">
            <v:path arrowok="t"/>
            <v:fill type="solid"/>
          </v:shape>
          <v:shape style="position:absolute;left:10765;top:1028;width:116;height:90" id="docshape11" coordorigin="10765,1028" coordsize="116,90" path="m10874,1028l10765,1080,10773,1117,10881,1065,10874,1028xe" filled="true" fillcolor="#ffffff" stroked="false">
            <v:path arrowok="t"/>
            <v:fill type="solid"/>
          </v:shape>
          <v:shape style="position:absolute;left:10765;top:1028;width:116;height:90" id="docshape12" coordorigin="10765,1028" coordsize="116,90" path="m10773,1117l10765,1080,10874,1028,10881,1065,10773,1117xe" filled="false" stroked="true" strokeweight="1pt" strokecolor="#ffffff">
            <v:path arrowok="t"/>
            <v:stroke dashstyle="solid"/>
          </v:shape>
          <w10:wrap type="none"/>
        </v:group>
      </w:pict>
    </w:r>
    <w:r>
      <w:rPr/>
      <w:pict>
        <v:shapetype id="_x0000_t202" o:spt="202" coordsize="21600,21600" path="m,l,21600r21600,l21600,xe">
          <v:stroke joinstyle="miter"/>
          <v:path gradientshapeok="t" o:connecttype="rect"/>
        </v:shapetype>
        <v:shape style="position:absolute;margin-left:35.720001pt;margin-top:35.395443pt;width:188.2pt;height:20.05pt;mso-position-horizontal-relative:page;mso-position-vertical-relative:page;z-index:-15973376" type="#_x0000_t202" id="docshape13" filled="false" stroked="false">
          <v:textbox inset="0,0,0,0">
            <w:txbxContent>
              <w:p>
                <w:pPr>
                  <w:spacing w:before="14"/>
                  <w:ind w:left="20" w:right="0" w:firstLine="0"/>
                  <w:jc w:val="left"/>
                  <w:rPr>
                    <w:i/>
                    <w:sz w:val="16"/>
                  </w:rPr>
                </w:pPr>
                <w:r>
                  <w:rPr>
                    <w:i/>
                    <w:sz w:val="16"/>
                  </w:rPr>
                  <w:t>Journal</w:t>
                </w:r>
                <w:r>
                  <w:rPr>
                    <w:i/>
                    <w:spacing w:val="-7"/>
                    <w:sz w:val="16"/>
                  </w:rPr>
                  <w:t> </w:t>
                </w:r>
                <w:r>
                  <w:rPr>
                    <w:i/>
                    <w:sz w:val="16"/>
                  </w:rPr>
                  <w:t>of</w:t>
                </w:r>
                <w:r>
                  <w:rPr>
                    <w:i/>
                    <w:spacing w:val="-7"/>
                    <w:sz w:val="16"/>
                  </w:rPr>
                  <w:t> </w:t>
                </w:r>
                <w:r>
                  <w:rPr>
                    <w:i/>
                    <w:sz w:val="16"/>
                  </w:rPr>
                  <w:t>Computing</w:t>
                </w:r>
                <w:r>
                  <w:rPr>
                    <w:i/>
                    <w:spacing w:val="-5"/>
                    <w:sz w:val="16"/>
                  </w:rPr>
                  <w:t> </w:t>
                </w:r>
                <w:r>
                  <w:rPr>
                    <w:i/>
                    <w:sz w:val="16"/>
                  </w:rPr>
                  <w:t>Technologies</w:t>
                </w:r>
                <w:r>
                  <w:rPr>
                    <w:i/>
                    <w:spacing w:val="-8"/>
                    <w:sz w:val="16"/>
                  </w:rPr>
                  <w:t> </w:t>
                </w:r>
                <w:r>
                  <w:rPr>
                    <w:i/>
                    <w:sz w:val="16"/>
                  </w:rPr>
                  <w:t>and</w:t>
                </w:r>
                <w:r>
                  <w:rPr>
                    <w:i/>
                    <w:spacing w:val="-7"/>
                    <w:sz w:val="16"/>
                  </w:rPr>
                  <w:t> </w:t>
                </w:r>
                <w:r>
                  <w:rPr>
                    <w:i/>
                    <w:sz w:val="16"/>
                  </w:rPr>
                  <w:t>Creative</w:t>
                </w:r>
                <w:r>
                  <w:rPr>
                    <w:i/>
                    <w:spacing w:val="-8"/>
                    <w:sz w:val="16"/>
                  </w:rPr>
                  <w:t> </w:t>
                </w:r>
                <w:r>
                  <w:rPr>
                    <w:i/>
                    <w:sz w:val="16"/>
                  </w:rPr>
                  <w:t>Content</w:t>
                </w:r>
                <w:r>
                  <w:rPr>
                    <w:i/>
                    <w:spacing w:val="40"/>
                    <w:sz w:val="16"/>
                  </w:rPr>
                  <w:t> </w:t>
                </w:r>
                <w:r>
                  <w:rPr>
                    <w:i/>
                    <w:sz w:val="16"/>
                  </w:rPr>
                  <w:t>6(2), June 2021</w:t>
                </w:r>
              </w:p>
            </w:txbxContent>
          </v:textbox>
          <w10:wrap type="non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