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52" w:lineRule="auto"/>
        <w:jc w:val="center"/>
      </w:pPr>
      <w:r>
        <w:rPr>
          <w:rFonts w:ascii="Times New Roman" w:hAnsi="Times New Roman"/>
          <w:b/>
          <w:i w:val="0"/>
          <w:sz w:val="36"/>
        </w:rPr>
        <w:t>SentriZK: A Review of Privacy-Preserving Secure Messaging via Zero-Knowledge Authentication, Insider Threat Detection, and On-Device AI</w:t>
      </w:r>
    </w:p>
    <w:p>
      <w:pPr>
        <w:spacing w:before="0" w:after="40" w:line="240" w:lineRule="auto"/>
        <w:jc w:val="center"/>
      </w:pPr>
      <w:r>
        <w:rPr>
          <w:rFonts w:ascii="Times New Roman" w:hAnsi="Times New Roman"/>
          <w:b w:val="0"/>
          <w:i w:val="0"/>
          <w:sz w:val="22"/>
        </w:rPr>
        <w:t>[First Author]¹, [Second Author]¹, [Third Author]¹, [Supervisor Name]²</w:t>
      </w:r>
    </w:p>
    <w:p>
      <w:pPr>
        <w:spacing w:before="0" w:after="20" w:line="240" w:lineRule="auto"/>
        <w:jc w:val="center"/>
      </w:pPr>
      <w:r>
        <w:rPr>
          <w:rFonts w:ascii="Times New Roman" w:hAnsi="Times New Roman"/>
          <w:b w:val="0"/>
          <w:i/>
          <w:sz w:val="18"/>
        </w:rPr>
        <w:t>¹Bachelor of Computer Science (Cyber Security), [Faculty], [University], [City], Malaysia</w:t>
      </w:r>
    </w:p>
    <w:p>
      <w:pPr>
        <w:spacing w:before="0" w:after="20" w:line="240" w:lineRule="auto"/>
        <w:jc w:val="center"/>
      </w:pPr>
      <w:r>
        <w:rPr>
          <w:rFonts w:ascii="Times New Roman" w:hAnsi="Times New Roman"/>
          <w:b w:val="0"/>
          <w:i/>
          <w:sz w:val="18"/>
        </w:rPr>
        <w:t>²[Department], [University], [City], Malaysia</w:t>
      </w:r>
    </w:p>
    <w:p>
      <w:pPr>
        <w:spacing w:before="0" w:after="20" w:line="240" w:lineRule="auto"/>
        <w:jc w:val="center"/>
      </w:pPr>
      <w:r>
        <w:rPr>
          <w:rFonts w:ascii="Times New Roman" w:hAnsi="Times New Roman"/>
          <w:b w:val="0"/>
          <w:i/>
          <w:sz w:val="18"/>
        </w:rPr>
        <w:t>Email: [corresponding.author]@[university].edu.my</w:t>
      </w:r>
    </w:p>
    <w:p>
      <w:pPr>
        <w:spacing w:before="160" w:after="60" w:line="240" w:lineRule="auto"/>
        <w:jc w:val="both"/>
      </w:pPr>
      <w:r>
        <w:rPr>
          <w:rFonts w:ascii="Times New Roman" w:hAnsi="Times New Roman"/>
          <w:b/>
          <w:i/>
          <w:sz w:val="18"/>
        </w:rPr>
        <w:t>Abstract—</w:t>
      </w:r>
      <w:r>
        <w:rPr>
          <w:rFonts w:ascii="Times New Roman" w:hAnsi="Times New Roman"/>
          <w:b/>
          <w:i w:val="0"/>
          <w:sz w:val="18"/>
        </w:rPr>
        <w:t>Secure messaging now carries the most sensitive correspondence, credentials, and operational data of distributed enterprises, making these platforms high-value targets for data leakage, impersonation, and insider misuse. Although end-to-end encryption is widely deployed, three problems remain fragmented across the literature: authentication that still depends on optional, human-error-prone manual verification ceremonies and leaves an active man-in-the-middle gap; insider threats by users who already hold legitimate access; and an inherent tension between intelligent threat detection and the privacy that encryption is meant to preserve. This paper presents a structured literature review that synthesizes twelve recent studies across three domains: secure messaging and insider-threat detection, zero-knowledge authentication, and on-device artificial-intelligence detection. Characterizing each source by problem, method, findings, and limitations, the review extracts a key gap: no surveyed system unifies confidential transport, privacy-preserving authentication, and intelligent on-device detection within one mobile platform, and the privacy, feasibility, and trust tensions that arise only at their intersection remain unaddressed. Motivated by this gap, the review proposes SentriZK, a conceptual architecture for a privacy-preserving, mobile-first Android messenger that combines end-to-end encrypted transport, non-interactive zero-knowledge-proof authentication that replaces fragile fingerprint ceremonies, and lightweight on-device threat detection. The work is explicitly a literature review and a design-stage proposal; no experimental results for the proposed system are reported, and the review instead establishes the engineering agenda that subsequent implementation must resolve.</w:t>
      </w:r>
    </w:p>
    <w:p>
      <w:pPr>
        <w:spacing w:before="0" w:after="80" w:line="240" w:lineRule="auto"/>
        <w:jc w:val="both"/>
      </w:pPr>
      <w:r>
        <w:rPr>
          <w:rFonts w:ascii="Times New Roman" w:hAnsi="Times New Roman"/>
          <w:b/>
          <w:i/>
          <w:sz w:val="18"/>
        </w:rPr>
        <w:t>Index Terms—</w:t>
      </w:r>
      <w:r>
        <w:rPr>
          <w:rFonts w:ascii="Times New Roman" w:hAnsi="Times New Roman"/>
          <w:b w:val="0"/>
          <w:i/>
          <w:sz w:val="18"/>
        </w:rPr>
        <w:t>End-to-end encryption; Insider threat detection; On-device machine learning; Phishing detection; Privacy-preserving authentication; Secure messaging; TensorFlow Lite; Zero-knowledge proof.</w:t>
      </w:r>
    </w:p>
    <w:p>
      <w:pPr>
        <w:sectPr>
          <w:pgSz w:w="11909" w:h="16834"/>
          <w:pgMar w:top="1008" w:right="864" w:bottom="1008" w:left="864" w:header="720" w:footer="720" w:gutter="0"/>
          <w:cols w:space="425" w:num="1" w:equalWidth="1"/>
          <w:docGrid w:linePitch="360"/>
        </w:sectPr>
      </w:pPr>
    </w:p>
    <w:p>
      <w:pPr>
        <w:spacing w:before="200" w:after="80" w:line="240" w:lineRule="auto"/>
        <w:jc w:val="center"/>
      </w:pPr>
      <w:r>
        <w:rPr>
          <w:rFonts w:ascii="Times New Roman" w:hAnsi="Times New Roman"/>
          <w:b/>
          <w:i w:val="0"/>
          <w:sz w:val="20"/>
        </w:rPr>
        <w:t>I. INTRODUCTION</w:t>
      </w:r>
    </w:p>
    <w:p>
      <w:pPr>
        <w:spacing w:before="0" w:after="60" w:line="240" w:lineRule="auto"/>
        <w:ind w:firstLine="288"/>
        <w:jc w:val="both"/>
      </w:pPr>
      <w:r>
        <w:rPr>
          <w:rFonts w:ascii="Times New Roman" w:hAnsi="Times New Roman"/>
          <w:b w:val="0"/>
          <w:i w:val="0"/>
          <w:sz w:val="20"/>
        </w:rPr>
        <w:t>Secure messaging has become central to modern enterprise operations, carrying sensitive correspondence, credentials, and operational data across distributed and increasingly mobile workforces. As organizations route a growing share of internal communication through chat platforms, these systems become high-value targets for data leakage, unauthorized access, impersonation, and insider misuse. Systematic threat-modeling studies of enterprise messaging confirm that many platforms lack rigorous security analysis and remain exposed to spoofing, tampering, information disclosure, and elevation-of-privilege attacks, with high-priority risks frequently traced to human factors and insider misuse as well as to integration points such as application programming interfaces and third-party services [1]. The corresponding mitigation set proposed in that work, spanning end-to-end encryption, strong authentication, hardened endpoints, and anomaly-based monitoring, frames the design space within which a privacy-preserving messaging platform must operate [1].</w:t>
      </w:r>
    </w:p>
    <w:p>
      <w:pPr>
        <w:spacing w:before="0" w:after="60" w:line="240" w:lineRule="auto"/>
        <w:ind w:firstLine="288"/>
        <w:jc w:val="both"/>
      </w:pPr>
      <w:r>
        <w:rPr>
          <w:rFonts w:ascii="Times New Roman" w:hAnsi="Times New Roman"/>
          <w:b w:val="0"/>
          <w:i w:val="0"/>
          <w:sz w:val="20"/>
        </w:rPr>
        <w:t>This review unifies three intertwined problem areas that current secure-messaging research treats largely in isolation. The first concerns authentication and the limits of contemporary end-to-end encryption (E2EE). A broad systematization of nineteen popular E2EE applications found that all of them implement only opportunistic E2EE, which defeats a passive man-in-the-middle adversary but remains vulnerable to an active attacker mounting key-substitution attacks through a malicious or coerced key-distribution server [2]. The authentication ceremony that would upgrade an application to authenticated E2EE is optional in every application studied and depends on users locating, understanding, and correctly completing manual fingerprint comparisons, a process shown to fail routinely due to human error [2]. Concrete E2EE implementations reinforce this gap: a Diffie-Hellman and AES-256 chat system built on a scalable microservice backend demonstrates strong confidentiality, yet its key exchange lacks an authentication mechanism and its phone-number-plus-SMS login is neither MitM-resistant nor privacy-preserving [3].</w:t>
      </w:r>
    </w:p>
    <w:p>
      <w:pPr>
        <w:spacing w:before="0" w:after="60" w:line="240" w:lineRule="auto"/>
        <w:ind w:firstLine="288"/>
        <w:jc w:val="both"/>
      </w:pPr>
      <w:r>
        <w:rPr>
          <w:rFonts w:ascii="Times New Roman" w:hAnsi="Times New Roman"/>
          <w:b w:val="0"/>
          <w:i w:val="0"/>
          <w:sz w:val="20"/>
        </w:rPr>
        <w:t>The second problem area is the insider threat: malicious activity by users who already hold legitimate access credentials. Because such activity blends in with authorized behavior, it evades classical rule- and signature-based defenses, and the resulting damage far exceeds that of external attacks [4]. Deep-learning sequence models, particularly long short-term memory (LSTM) and bidirectional LSTM (BiLSTM) architectures, have emerged as the dominant approach for capturing the temporal and semantic patterns that distinguish malicious from benign user activity [5], [4]. A BiLSTM enhanced with grouped orthogonal initialization and Swish activation has been proposed for insider detection coupled with privacy-preserving data transfer [5], and comprehensive surveys validate this model family on benchmark datasets while explicitly championing privacy-preserving detection through federated learning, differential privacy, and on-endpoint analysis [4]. Threat-modeling work likewise identifies insider misuse as a high-priority enterprise risk and calls for fusing AI-driven anomaly detection with systematic security analysis [1].</w:t>
      </w:r>
    </w:p>
    <w:p>
      <w:pPr>
        <w:spacing w:before="0" w:after="60" w:line="240" w:lineRule="auto"/>
        <w:ind w:firstLine="288"/>
        <w:jc w:val="both"/>
      </w:pPr>
      <w:r>
        <w:rPr>
          <w:rFonts w:ascii="Times New Roman" w:hAnsi="Times New Roman"/>
          <w:b w:val="0"/>
          <w:i w:val="0"/>
          <w:sz w:val="20"/>
        </w:rPr>
        <w:t>The third problem area is the need for privacy-preserving, on-device threat detection. Sending message content to cloud services for analysis introduces latency and exposes sensitive data, motivating detection that runs locally on the user's device. Surveys of anomaly detection map a rich landscape of machine- and deep-learning techniques, including LSTM and autoencoder approaches demonstrated on Android, while highlighting challenges of noisy data, scarce labels, limited memory, and real-time streaming that constrain edge deployment [6]. Lightweight transformer models address these constraints directly: an Aquila-optimized TinyBERT detector for smishing (SMS phishing) on Android reached 96.81% accuracy with deliberately short training to remain device-suitable [7], while the PHILDER framework selected an undersampled TinyBERT for the best balance of accuracy and computational cost, reporting 99.27% phishing-detection accuracy under composite efficiency metrics [8]. URL-only hybrid classifiers further show that compact models can reach 98.12% accuracy with low latency and no third-party dependency [9]. Together these results establish the feasibility of accurate, low-resource threat classification suitable for frameworks such as TensorFlow Lite.</w:t>
      </w:r>
    </w:p>
    <w:p>
      <w:pPr>
        <w:spacing w:before="0" w:after="60" w:line="240" w:lineRule="auto"/>
        <w:ind w:firstLine="288"/>
        <w:jc w:val="both"/>
      </w:pPr>
      <w:r>
        <w:rPr>
          <w:rFonts w:ascii="Times New Roman" w:hAnsi="Times New Roman"/>
          <w:b w:val="0"/>
          <w:i w:val="0"/>
          <w:sz w:val="20"/>
        </w:rPr>
        <w:t>Zero-knowledge proofs (ZKPs) offer a principled answer to the authentication and privacy gap that manual ceremonies fail to close. A ZKP allows a prover to convince a verifier that a statement is true without revealing any information beyond its validity, enabling authentication that never transmits passwords or secrets [10]. Non-interactive constructions such as zk-SNARKs, realized in part through the Fiat-Shamir heuristic, provide succinct and fast-to-verify proofs that remove the heavy multi-round exchange of interactive protocols, while delivering native anonymity and man-in-the-middle resistance at lower overhead than public-key infrastructure [10], [11]. A blockchain identity-management system built on the Pinocchio/Groth16 zk-SNARK family demonstrates password-less, secret-less anonymous authentication on a real deployment stack, but its 192 MB proving key and approximately 37-second proof generation also serve as a clear warning of the resource costs that a mobile-first design must engineer around [12]. Replacing fragile fingerprint-verification ceremonies with non-interactive zk-SNARK authentication therefore directly targets the human-error gap identified in the secure-messaging literature [2], [10], [11], [12].</w:t>
      </w:r>
    </w:p>
    <w:p>
      <w:pPr>
        <w:spacing w:before="0" w:after="60" w:line="240" w:lineRule="auto"/>
        <w:ind w:firstLine="288"/>
        <w:jc w:val="both"/>
      </w:pPr>
      <w:r>
        <w:rPr>
          <w:rFonts w:ascii="Times New Roman" w:hAnsi="Times New Roman"/>
          <w:b w:val="0"/>
          <w:i w:val="0"/>
          <w:sz w:val="20"/>
        </w:rPr>
        <w:t>These observations motivate SentriZK, a conceptual design for a privacy-preserving, mobile-first Android secure-messaging platform that unifies three pillars: zero-knowledge-proof authentication using non-interactive Groth16 zk-SNARKs to authenticate users without transmitting passwords or secrets; on-device, lightweight AI threat detection adapting deep-learning insider-threat, anomaly, and phishing/smishing models to run locally via TensorFlow Lite; and end-to-end encrypted transport built on Diffie-Hellman key exchange and AES-256. SentriZK is presented at the design and review stage, and this paper is a literature review that motivates and proposes its conceptual architecture rather than reporting experimental results. The contributions of this review are fourfold: it synthesizes the evidence base across the three problem domains of authentication and E2EE, insider-threat detection, and on-device threat detection; it shows how non-interactive zero-knowledge authentication addresses the documented authentication and privacy gaps of current E2EE messengers; it identifies the open challenges and resource constraints that bound a mobile deployment; and it derives from this synthesis the unified architecture proposed for SentriZK.</w:t>
      </w:r>
    </w:p>
    <w:p>
      <w:pPr>
        <w:spacing w:before="0" w:after="60" w:line="240" w:lineRule="auto"/>
        <w:ind w:firstLine="288"/>
        <w:jc w:val="both"/>
      </w:pPr>
      <w:r>
        <w:rPr>
          <w:rFonts w:ascii="Times New Roman" w:hAnsi="Times New Roman"/>
          <w:b w:val="0"/>
          <w:i w:val="0"/>
          <w:sz w:val="20"/>
        </w:rPr>
        <w:t>The remainder of this paper is organized as follows. The Methodology section describes the source-selection and analysis procedure underlying the review. Three domain review sections then examine, in turn, secure messaging with authentication and end-to-end encryption [2], [1], [3]; insider-threat detection using machine and deep learning [5], [4]; and privacy-preserving, on-device anomaly and phishing/smishing detection [6], [7], [8], [9], alongside zero-knowledge authentication [10], [11], [12]. A synthesis and gaps section consolidates the cross-domain findings and the open challenges they expose. The proposed architecture section then presents the unified SentriZK design, after which the conclusion summarizes the review and outlines future work.</w:t>
      </w:r>
    </w:p>
    <w:p>
      <w:pPr>
        <w:spacing w:before="200" w:after="80" w:line="240" w:lineRule="auto"/>
        <w:jc w:val="center"/>
      </w:pPr>
      <w:r>
        <w:rPr>
          <w:rFonts w:ascii="Times New Roman" w:hAnsi="Times New Roman"/>
          <w:b/>
          <w:i w:val="0"/>
          <w:sz w:val="20"/>
        </w:rPr>
        <w:t>II. REVIEW METHODOLOGY</w:t>
      </w:r>
    </w:p>
    <w:p>
      <w:pPr>
        <w:spacing w:before="0" w:after="60" w:line="240" w:lineRule="auto"/>
        <w:ind w:firstLine="288"/>
        <w:jc w:val="both"/>
      </w:pPr>
      <w:r>
        <w:rPr>
          <w:rFonts w:ascii="Times New Roman" w:hAnsi="Times New Roman"/>
          <w:b w:val="0"/>
          <w:i w:val="0"/>
          <w:sz w:val="20"/>
        </w:rPr>
        <w:t>This review adopts a structured, narrative synthesis approach rather than a statistical meta-analysis. The objective is to consolidate recent peer-reviewed evidence across the technical foundations that motivate SentriZK and to extract, from that evidence, the unresolved gaps that justify its proposed unification of privacy-preserving authentication, on-device threat detection, and E2EE transport. Because the included works employ heterogeneous datasets, evaluation settings, and reporting conventions, their reported metrics are not directly comparable; consequently the analysis is qualitative and interpretive, and no pooled effect sizes or aggregate statistics are computed. All quantitative figures discussed elsewhere in this paper are attributed to their originating source rather than combined.</w:t>
      </w:r>
    </w:p>
    <w:p>
      <w:pPr>
        <w:spacing w:before="120" w:after="40" w:line="240" w:lineRule="auto"/>
        <w:jc w:val="left"/>
      </w:pPr>
      <w:r>
        <w:rPr>
          <w:rFonts w:ascii="Times New Roman" w:hAnsi="Times New Roman"/>
          <w:b w:val="0"/>
          <w:i/>
          <w:sz w:val="20"/>
        </w:rPr>
        <w:t>A. Scoping Into Three Domains</w:t>
      </w:r>
    </w:p>
    <w:p>
      <w:pPr>
        <w:spacing w:before="0" w:after="60" w:line="240" w:lineRule="auto"/>
        <w:ind w:firstLine="288"/>
        <w:jc w:val="both"/>
      </w:pPr>
      <w:r>
        <w:rPr>
          <w:rFonts w:ascii="Times New Roman" w:hAnsi="Times New Roman"/>
          <w:b w:val="0"/>
          <w:i w:val="0"/>
          <w:sz w:val="20"/>
        </w:rPr>
        <w:t>The literature was scoped into three thematic domains that mirror the three pillars of the proposed architecture. Domain 1 covers secure messaging, E2EE transport, and the threat landscape that includes insider misuse, addressing how confidentiality and authentication are delivered and where today's secure messengers remain vulnerable [2], [1], [3]. Domain 2 covers zero-knowledge authentication and privacy, examining how ZKPs and non-interactive zk-SNARK constructions can verify a user's legitimacy without transmitting passwords, secrets, or identity attributes [10], [11], [12]. Domain 3 covers on-device, lightweight artificial-intelligence (AI) anomaly, insider-threat, and phishing/smishing detection, focusing on deep-learning models suitable for resource-constrained mobile deployment [5], [4], [6], [7], [8], [9]. This three-domain partition provides the organising structure for the review and for the per-domain comparison tables presented in the following sections.</w:t>
      </w:r>
    </w:p>
    <w:p>
      <w:pPr>
        <w:spacing w:before="120" w:after="40" w:line="240" w:lineRule="auto"/>
        <w:jc w:val="left"/>
      </w:pPr>
      <w:r>
        <w:rPr>
          <w:rFonts w:ascii="Times New Roman" w:hAnsi="Times New Roman"/>
          <w:b w:val="0"/>
          <w:i/>
          <w:sz w:val="20"/>
        </w:rPr>
        <w:t>B. Source Selection and Characterisation</w:t>
      </w:r>
    </w:p>
    <w:p>
      <w:pPr>
        <w:spacing w:before="0" w:after="60" w:line="240" w:lineRule="auto"/>
        <w:ind w:firstLine="288"/>
        <w:jc w:val="both"/>
      </w:pPr>
      <w:r>
        <w:rPr>
          <w:rFonts w:ascii="Times New Roman" w:hAnsi="Times New Roman"/>
          <w:b w:val="0"/>
          <w:i w:val="0"/>
          <w:sz w:val="20"/>
        </w:rPr>
        <w:t>Twelve primary sources were selected as the evidence base, drawn from recent publications spanning approximately 2022 to 2025 to capture the current state of the art. The set deliberately mixes complementary publication types: systematisation-of-knowledge and survey papers that map a field's breadth [2], [4], [10], [11], [6]; implemented or design-oriented systems that demonstrate concrete primitives and architectures [3], [12]; and applied model-development studies reporting empirical detection performance [5], [7], [8], [9]. Each source was characterised along four consistent dimensions: the problem it addresses, the method it employs, its key findings (including any reported metrics), and its limitations. This uniform characterisation allowed strengths and weaknesses to be weighed on comparable terms, and it surfaced recurring caveats, such as reliance on synthetic benchmarks like the CMU CERT dataset, internally inconsistent or unreproducible metrics, and the frequent absence of true on-device latency, memory, or model-size measurements despite lightweight or mobile claims [5], [4], [7], [8].</w:t>
      </w:r>
    </w:p>
    <w:p>
      <w:pPr>
        <w:spacing w:before="120" w:after="40" w:line="240" w:lineRule="auto"/>
        <w:jc w:val="left"/>
      </w:pPr>
      <w:r>
        <w:rPr>
          <w:rFonts w:ascii="Times New Roman" w:hAnsi="Times New Roman"/>
          <w:b w:val="0"/>
          <w:i/>
          <w:sz w:val="20"/>
        </w:rPr>
        <w:t>C. Comparison Framework and Gap Extraction</w:t>
      </w:r>
    </w:p>
    <w:p>
      <w:pPr>
        <w:spacing w:before="0" w:after="60" w:line="240" w:lineRule="auto"/>
        <w:ind w:firstLine="288"/>
        <w:jc w:val="both"/>
      </w:pPr>
      <w:r>
        <w:rPr>
          <w:rFonts w:ascii="Times New Roman" w:hAnsi="Times New Roman"/>
          <w:b w:val="0"/>
          <w:i w:val="0"/>
          <w:sz w:val="20"/>
        </w:rPr>
        <w:t>Within each domain, sources were compared using a framework tailored to that domain's salient design criteria. For secure messaging, the criteria included the E2EE protocol and primitives used, whether protection is default or opt-in, resistance to active man-in-the-middle attacks, and the availability and usability of any authentication ceremony [2], [3]. For zero-knowledge authentication, sources were compared on proof type (interactive versus non-interactive), trusted-setup requirements, anonymity and man-in-the-middle resistance, and computational or storage overhead relevant to mobile constraints [10], [11], [12]. For on-device detection, the comparison considered model family, target threat, dataset, reported accuracy, and stated efficiency or resource characteristics [5], [6], [7], [8], [9]. From these comparisons, gaps were extracted by identifying problems consistently raised but left unsolved: the reliance on optional, human-error-prone manual verification ceremonies that fail against active attackers [2], [1]; the lack of authentication and resulting man-in-the-middle exposure in key-exchange-based E2EE implementations [3]; the heavy proving cost and large key sizes that challenge mobile zk-SNARK deployment [12]; and the unverified feasibility of running deep-learning detectors locally under tight compute, latency, and privacy budgets [4], [7], [8]. These extracted gaps form the direct motivation for the SentriZK proposal.</w:t>
      </w:r>
    </w:p>
    <w:p>
      <w:pPr>
        <w:spacing w:before="200" w:after="80" w:line="240" w:lineRule="auto"/>
        <w:jc w:val="center"/>
      </w:pPr>
      <w:r>
        <w:rPr>
          <w:rFonts w:ascii="Times New Roman" w:hAnsi="Times New Roman"/>
          <w:b/>
          <w:i w:val="0"/>
          <w:sz w:val="20"/>
        </w:rPr>
        <w:t>III. SECURE MESSAGING AND INSIDER THREATS</w:t>
      </w:r>
    </w:p>
    <w:p>
      <w:pPr>
        <w:spacing w:before="0" w:after="60" w:line="240" w:lineRule="auto"/>
        <w:ind w:firstLine="288"/>
        <w:jc w:val="both"/>
      </w:pPr>
      <w:r>
        <w:rPr>
          <w:rFonts w:ascii="Times New Roman" w:hAnsi="Times New Roman"/>
          <w:b w:val="0"/>
          <w:i w:val="0"/>
          <w:sz w:val="20"/>
        </w:rPr>
        <w:t>Secure enterprise messaging must simultaneously guarantee message confidentiality in transit, authenticate communicating parties without exposing them to active interception, and detect malicious behaviour originating from legitimate, authorised users. The literature in this domain therefore spans three complementary concerns: the cryptographic transport and authentication mechanisms of E2EE messengers [2], [3]; deep-learning approaches to insider-threat detection over behavioural logs [5], [4]; and structured threat modelling that enumerates the attack surface of messaging platforms [1]. This section reviews each concern and identifies the gaps that motivate SentriZK's unified design.</w:t>
      </w:r>
    </w:p>
    <w:p>
      <w:pPr>
        <w:spacing w:before="120" w:after="40" w:line="240" w:lineRule="auto"/>
        <w:jc w:val="left"/>
      </w:pPr>
      <w:r>
        <w:rPr>
          <w:rFonts w:ascii="Times New Roman" w:hAnsi="Times New Roman"/>
          <w:b w:val="0"/>
          <w:i/>
          <w:sz w:val="20"/>
        </w:rPr>
        <w:t>A. End-to-End Encryption and Authentication Ceremonies</w:t>
      </w:r>
    </w:p>
    <w:p>
      <w:pPr>
        <w:spacing w:before="0" w:after="60" w:line="240" w:lineRule="auto"/>
        <w:ind w:firstLine="288"/>
        <w:jc w:val="both"/>
      </w:pPr>
      <w:r>
        <w:rPr>
          <w:rFonts w:ascii="Times New Roman" w:hAnsi="Times New Roman"/>
          <w:b w:val="0"/>
          <w:i w:val="0"/>
          <w:sz w:val="20"/>
        </w:rPr>
        <w:t>End-to-end encryption is the established foundation for confidential messaging, and recent implementations demonstrate that well-vetted primitives can guarantee that no intermediary, including the server, can read message content. Perkasa et al. [3] implement a secure chat application that derives an identical shared secret on each client using Diffie-Hellman and Elliptic Curve Diffie-Hellman (ECDH) key exchange via the Web Crypto API, without ever transmitting private keys, and then encrypts messages with AES-256 in CBC mode before transmission. In their system, messages are encrypted on the client and stored encrypted in PostgreSQL, so only the sender and recipient holding the identical shared key can decrypt them, achieving end-to-end confidentiality even against a compromised server [3]. The backend is organised as a microservice architecture (an NGINX API gateway, an authentication service issuing JSON Web Tokens, a WebSocket service for real-time routing, a horizontally scalable chat service, a PostgreSQL store, and a RabbitMQ broker), giving practical scalability and reduced single points of failure [3]. These primitives, Diffie-Hellman key exchange plus AES-256 over a modular enterprise backend, directly inform SentriZK's encrypted-transport pillar.</w:t>
      </w:r>
    </w:p>
    <w:p>
      <w:pPr>
        <w:spacing w:before="0" w:after="60" w:line="240" w:lineRule="auto"/>
        <w:ind w:firstLine="288"/>
        <w:jc w:val="both"/>
      </w:pPr>
      <w:r>
        <w:rPr>
          <w:rFonts w:ascii="Times New Roman" w:hAnsi="Times New Roman"/>
          <w:b w:val="0"/>
          <w:i w:val="0"/>
          <w:sz w:val="20"/>
        </w:rPr>
        <w:t>However, confidentiality alone does not guarantee that the party at the other end of the channel is genuine. Perkasa et al. acknowledge that their ECDH exchange lacks an authentication mechanism, leaving man-in-the-middle (MitM) resistance dependent on out-of-band trust, and that authentication via phone number plus SMS code with server-stored credentials is susceptible to interception and is not privacy-preserving [3]. This authentication weakness is precisely the gap systematised by Alatawi and Saxena [2]. In a systematisation-of-knowledge study of nineteen popular E2EE applications, evaluated through both documentation review and hands-on testing on four devices, they find that every application implements only opportunistic E2EE, which defends against a passive MitM but remains vulnerable to an active MitM that mounts key-substitution attacks via a malicious or coerced key-distribution server [2]. Defeating an active MitM requires users to manually verify key fingerprints through an authentication ceremony, yet this ceremony is optional in every application studied, and applications rely on users to find, understand, and complete it [2].</w:t>
      </w:r>
    </w:p>
    <w:p>
      <w:pPr>
        <w:spacing w:before="0" w:after="60" w:line="240" w:lineRule="auto"/>
        <w:ind w:firstLine="288"/>
        <w:jc w:val="both"/>
      </w:pPr>
      <w:r>
        <w:rPr>
          <w:rFonts w:ascii="Times New Roman" w:hAnsi="Times New Roman"/>
          <w:b w:val="0"/>
          <w:i w:val="0"/>
          <w:sz w:val="20"/>
        </w:rPr>
        <w:t>The SoK further shows that these manual ceremonies are broken in practice. Fingerprint representations vary widely (QR code, numeric, hexadecimal or Base32 alphanumeric, graphical, and short authentication strings), and manual comparison renders nearly all ceremonies vulnerable to human error, with cited user studies finding that users frequently fail to authenticate even when instructed [2]. Group authentication is almost universally pairwise rather than group-based, making ceremonies impractical as group size grows, and only seven of the surveyed applications support any in-app out-of-band fingerprint exchange [2]. Several applications do not even enable E2EE by default, risking user confusion and exposure of sensitive data [2]. The authors recommend making E2EE default, treating the ceremony as a primary task, and pursuing automated or semi-automated ceremonies [2]. Taken together, [3] supplies the encrypted-transport foundation while [2] establishes that error-prone manual authentication is the dominant residual weakness, motivating an authentication mechanism that removes human intervention from the trust-establishment step.</w:t>
      </w:r>
    </w:p>
    <w:p>
      <w:pPr>
        <w:spacing w:before="120" w:after="40" w:line="240" w:lineRule="auto"/>
        <w:jc w:val="left"/>
      </w:pPr>
      <w:r>
        <w:rPr>
          <w:rFonts w:ascii="Times New Roman" w:hAnsi="Times New Roman"/>
          <w:b w:val="0"/>
          <w:i/>
          <w:sz w:val="20"/>
        </w:rPr>
        <w:t>B. Insider Threat Detection with Deep Learning</w:t>
      </w:r>
    </w:p>
    <w:p>
      <w:pPr>
        <w:spacing w:before="0" w:after="60" w:line="240" w:lineRule="auto"/>
        <w:ind w:firstLine="288"/>
        <w:jc w:val="both"/>
      </w:pPr>
      <w:r>
        <w:rPr>
          <w:rFonts w:ascii="Times New Roman" w:hAnsi="Times New Roman"/>
          <w:b w:val="0"/>
          <w:i w:val="0"/>
          <w:sz w:val="20"/>
        </w:rPr>
        <w:t>Even when transport and authentication are sound, enterprise messaging remains exposed to insiders who hold legitimate access credentials. Insider threats are difficult to detect because malicious actors blend in with authorised activity, and Alzaabi and Mehmood [4] note that such threats can cause damage far exceeding external attacks, citing figures of roughly twenty times the impact, an average of about USD 4.5 million per breach, and roughly thirty-five percent of 2023 breaches. Their review of machine-learning and deep-learning detection methods finds that deep learning and natural-language-based models, especially recurrent and LSTM networks, BiLSTM, attention mechanisms, and pre-trained language models, outperform classical machine learning at capturing temporal and semantic patterns in user behaviour, although they suffer from black-box interpretability problems [4]. The review identifies the CMU CERT dataset as the dominant labelled benchmark and highlights class imbalance (rare insider instances) as a recurring problem addressed via oversampling such as SMOTE, GAN-based synthetic data, or one-class and anomaly methods [4]. It also advocates more sophisticated temporal and sequence modelling and frames privacy preservation, through federated learning, differential privacy, homomorphic encryption, and on-endpoint analysis, as a major open challenge, alongside encrypted-channel exfiltration that defeats deep packet inspection [4].</w:t>
      </w:r>
    </w:p>
    <w:p>
      <w:pPr>
        <w:spacing w:before="0" w:after="60" w:line="240" w:lineRule="auto"/>
        <w:ind w:firstLine="288"/>
        <w:jc w:val="both"/>
      </w:pPr>
      <w:r>
        <w:rPr>
          <w:rFonts w:ascii="Times New Roman" w:hAnsi="Times New Roman"/>
          <w:b w:val="0"/>
          <w:i w:val="0"/>
          <w:sz w:val="20"/>
        </w:rPr>
        <w:t>Srinivasan et al. [5] instantiate this deep-learning direction with a concrete architecture. They process sequential data such as access-control records and network logs with a BiLSTM in forward and backward directions, applying Grouped Orthogonal Initialization to stabilise training and mitigate vanishing and exploding gradients, and replacing ReLU with the Swish activation function to improve gradient flow and avoid dead neurons [5]. The reported model achieves 95% accuracy, 92% precision, 90% recall, a 91% F1-score, and a 94% AUC-ROC, and is claimed to outperform Optimized XGBoost and a LightGBM baseline at the cost of slightly higher model complexity [5]. The work also pairs detection with privacy-preserving data transfer, proposing homomorphic encryption to compute on encrypted data and federated learning to transmit only model updates rather than raw data [5]. These results should be read with caution: the paper is largely conceptual, names no dataset, and reports internally inconsistent figures (a 95% headline accuracy versus 91% in the results text), and it provides no latency or resource-cost analysis, so on-device feasibility is unaddressed [5]. Nonetheless, [5] and [4] jointly validate BiLSTM-style sequence models over behavioural logs as the appropriate model family for insider-threat detection, while their shared emphasis on privacy-preserving and on-endpoint deployment motivates SentriZK's choice to run lightweight detection locally rather than in the cloud.</w:t>
      </w:r>
    </w:p>
    <w:p>
      <w:pPr>
        <w:spacing w:before="120" w:after="40" w:line="240" w:lineRule="auto"/>
        <w:jc w:val="left"/>
      </w:pPr>
      <w:r>
        <w:rPr>
          <w:rFonts w:ascii="Times New Roman" w:hAnsi="Times New Roman"/>
          <w:b w:val="0"/>
          <w:i/>
          <w:sz w:val="20"/>
        </w:rPr>
        <w:t>C. Threat Modeling for Secure Messaging</w:t>
      </w:r>
    </w:p>
    <w:p>
      <w:pPr>
        <w:spacing w:before="0" w:after="60" w:line="240" w:lineRule="auto"/>
        <w:ind w:firstLine="288"/>
        <w:jc w:val="both"/>
      </w:pPr>
      <w:r>
        <w:rPr>
          <w:rFonts w:ascii="Times New Roman" w:hAnsi="Times New Roman"/>
          <w:b w:val="0"/>
          <w:i w:val="0"/>
          <w:sz w:val="20"/>
        </w:rPr>
        <w:t>A structured understanding of the attack surface is needed to position confidentiality, authentication, and detection coherently. Michael [1] argues that many enterprise messaging platforms lack systematic threat modelling, leaving them exposed to data leakage, unauthorised access, phishing and impersonation, and insider threats, and proposes a six-step process: asset identification, attack-surface analysis, threat enumeration, vulnerability assessment, risk analysis via a likelihood-and-impact matrix, and mitigation [1]. Threats are categorised using STRIDE (spoofing, tampering, repudiation, information disclosure, denial of service, and elevation of privilege), with enumeration drawing on PASTA and MITRE ATT&amp;CK and tooling such as the Microsoft Threat Modeling Tool and OWASP Threat Dragon [1]. Case studies reveal recurring vulnerability patterns of insufficient access-control enforcement and incomplete encryption coverage, and the analysis finds that high-priority threats are frequently associated with human factors such as insider misuse and with integration points such as APIs and third-party services [1].</w:t>
      </w:r>
    </w:p>
    <w:p>
      <w:pPr>
        <w:spacing w:before="0" w:after="60" w:line="240" w:lineRule="auto"/>
        <w:ind w:firstLine="288"/>
        <w:jc w:val="both"/>
      </w:pPr>
      <w:r>
        <w:rPr>
          <w:rFonts w:ascii="Times New Roman" w:hAnsi="Times New Roman"/>
          <w:b w:val="0"/>
          <w:i w:val="0"/>
          <w:sz w:val="20"/>
        </w:rPr>
        <w:t>Michael groups mitigations into technical controls (E2EE, multi-factor authentication, hardened APIs, and secure endpoints), administrative controls (policies, awareness training, and incident response), and continuous monitoring (logging, anomaly detection, and alerting), and the future-work direction explicitly calls for integrating AI-driven anomaly detection with threat modelling and embedding automated threat modelling in DevSecOps pipelines [1]. The study reports no quantitative metrics, and its validation relies on simulations and case studies that may not replicate real operational environments [1]. As a design-stage backbone, however, [1] enumerates the precise attack vectors SentriZK targets, namely spoofing and unauthorised access, information disclosure through metadata and endpoint exposure, and insider misuse, and its mitigation taxonomy maps directly onto SentriZK's three pillars: encrypted transport, strong privacy-preserving authentication, and intelligent on-device threat detection.</w:t>
      </w:r>
    </w:p>
    <w:p>
      <w:pPr>
        <w:spacing w:before="0" w:after="60" w:line="240" w:lineRule="auto"/>
        <w:ind w:firstLine="288"/>
        <w:jc w:val="both"/>
      </w:pPr>
      <w:r>
        <w:rPr>
          <w:rFonts w:ascii="Times New Roman" w:hAnsi="Times New Roman"/>
          <w:b w:val="0"/>
          <w:i w:val="0"/>
          <w:sz w:val="20"/>
        </w:rPr>
        <w:t>In synthesis, the Domain 1 literature establishes that strong E2EE primitives are well understood [3] but that the human-dependent authentication ceremony remains the dominant exploitable weakness [2]; that deep sequence models such as BiLSTM are effective for insider-threat detection yet must contend with class imbalance, interpretability, and the absence of on-device resource analysis [5], [4]; and that systematic threat modelling frames these as a unified attack surface in which authentication, encryption, and behavioural monitoring must coexist [1]. SentriZK addresses these gaps by replacing fragile manual ceremonies with non-interactive zero-knowledge authentication, adapting BiLSTM-style detection for lightweight on-device inference, and retaining Diffie-Hellman and AES-256 transport, thereby consolidating the otherwise fragmented mitigations identified across [2], [5], [4], [1], and [3].</w:t>
      </w:r>
    </w:p>
    <w:p>
      <w:pPr>
        <w:sectPr>
          <w:type w:val="continuous"/>
          <w:pgSz w:w="11909" w:h="16834"/>
          <w:pgMar w:top="1008" w:right="864" w:bottom="1008" w:left="864" w:header="720" w:footer="720" w:gutter="0"/>
          <w:cols w:space="425" w:num="2" w:equalWidth="1"/>
          <w:docGrid w:linePitch="360"/>
        </w:sectPr>
      </w:pPr>
    </w:p>
    <w:p>
      <w:pPr>
        <w:spacing w:before="120" w:after="60" w:line="240" w:lineRule="auto"/>
        <w:jc w:val="center"/>
      </w:pPr>
      <w:r>
        <w:rPr>
          <w:rFonts w:ascii="Times New Roman" w:hAnsi="Times New Roman"/>
          <w:b/>
          <w:i w:val="0"/>
          <w:sz w:val="16"/>
        </w:rPr>
        <w:t>TABLE I. SUMMARY OF SECURE MESSAGING AND INSIDER THREAT STUDIES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16"/>
              </w:rPr>
              <w:t>Study</w:t>
            </w:r>
          </w:p>
        </w:tc>
        <w:tc>
          <w:tcPr>
            <w:tcW w:type="dxa" w:w="1728"/>
          </w:tcPr>
          <w:p>
            <w:pPr>
              <w:jc w:val="center"/>
            </w:pPr>
            <w:r/>
            <w:r>
              <w:rPr>
                <w:rFonts w:ascii="Times New Roman" w:hAnsi="Times New Roman"/>
                <w:b/>
                <w:sz w:val="16"/>
              </w:rPr>
              <w:t>Focus</w:t>
            </w:r>
          </w:p>
        </w:tc>
        <w:tc>
          <w:tcPr>
            <w:tcW w:type="dxa" w:w="1728"/>
          </w:tcPr>
          <w:p>
            <w:pPr>
              <w:jc w:val="center"/>
            </w:pPr>
            <w:r/>
            <w:r>
              <w:rPr>
                <w:rFonts w:ascii="Times New Roman" w:hAnsi="Times New Roman"/>
                <w:b/>
                <w:sz w:val="16"/>
              </w:rPr>
              <w:t>Method</w:t>
            </w:r>
          </w:p>
        </w:tc>
        <w:tc>
          <w:tcPr>
            <w:tcW w:type="dxa" w:w="1728"/>
          </w:tcPr>
          <w:p>
            <w:pPr>
              <w:jc w:val="center"/>
            </w:pPr>
            <w:r/>
            <w:r>
              <w:rPr>
                <w:rFonts w:ascii="Times New Roman" w:hAnsi="Times New Roman"/>
                <w:b/>
                <w:sz w:val="16"/>
              </w:rPr>
              <w:t>Key Result</w:t>
            </w:r>
          </w:p>
        </w:tc>
        <w:tc>
          <w:tcPr>
            <w:tcW w:type="dxa" w:w="1728"/>
          </w:tcPr>
          <w:p>
            <w:pPr>
              <w:jc w:val="center"/>
            </w:pPr>
            <w:r/>
            <w:r>
              <w:rPr>
                <w:rFonts w:ascii="Times New Roman" w:hAnsi="Times New Roman"/>
                <w:b/>
                <w:sz w:val="16"/>
              </w:rPr>
              <w:t>Limitation</w:t>
            </w:r>
          </w:p>
        </w:tc>
      </w:tr>
      <w:tr>
        <w:tc>
          <w:tcPr>
            <w:tcW w:type="dxa" w:w="1728"/>
          </w:tcPr>
          <w:p>
            <w:pPr>
              <w:jc w:val="left"/>
            </w:pPr>
            <w:r/>
            <w:r>
              <w:rPr>
                <w:rFonts w:ascii="Times New Roman" w:hAnsi="Times New Roman"/>
                <w:sz w:val="16"/>
              </w:rPr>
              <w:t>[2]</w:t>
            </w:r>
          </w:p>
        </w:tc>
        <w:tc>
          <w:tcPr>
            <w:tcW w:type="dxa" w:w="1728"/>
          </w:tcPr>
          <w:p>
            <w:pPr>
              <w:jc w:val="left"/>
            </w:pPr>
            <w:r/>
            <w:r>
              <w:rPr>
                <w:rFonts w:ascii="Times New Roman" w:hAnsi="Times New Roman"/>
                <w:sz w:val="16"/>
              </w:rPr>
              <w:t>E2EE apps and authentication ceremonies in secure messaging</w:t>
            </w:r>
          </w:p>
        </w:tc>
        <w:tc>
          <w:tcPr>
            <w:tcW w:type="dxa" w:w="1728"/>
          </w:tcPr>
          <w:p>
            <w:pPr>
              <w:jc w:val="left"/>
            </w:pPr>
            <w:r/>
            <w:r>
              <w:rPr>
                <w:rFonts w:ascii="Times New Roman" w:hAnsi="Times New Roman"/>
                <w:sz w:val="16"/>
              </w:rPr>
              <w:t>Systematization of knowledge over 19 popular E2EE apps; documentation review plus hands-on testing on 4 devices</w:t>
            </w:r>
          </w:p>
        </w:tc>
        <w:tc>
          <w:tcPr>
            <w:tcW w:type="dxa" w:w="1728"/>
          </w:tcPr>
          <w:p>
            <w:pPr>
              <w:jc w:val="left"/>
            </w:pPr>
            <w:r/>
            <w:r>
              <w:rPr>
                <w:rFonts w:ascii="Times New Roman" w:hAnsi="Times New Roman"/>
                <w:sz w:val="16"/>
              </w:rPr>
              <w:t>All apps use only opportunistic E2EE (vulnerable to active MitM); manual authentication ceremonies are optional and routinely fail due to human error; only 7 apps support in-app out-of-band fingerprint exchange</w:t>
            </w:r>
          </w:p>
        </w:tc>
        <w:tc>
          <w:tcPr>
            <w:tcW w:type="dxa" w:w="1728"/>
          </w:tcPr>
          <w:p>
            <w:pPr>
              <w:jc w:val="left"/>
            </w:pPr>
            <w:r/>
            <w:r>
              <w:rPr>
                <w:rFonts w:ascii="Times New Roman" w:hAnsi="Times New Roman"/>
                <w:sz w:val="16"/>
              </w:rPr>
              <w:t>No new user study or measurements; group testing limited to size 3; largely descriptive snapshot as of late 2022</w:t>
            </w:r>
          </w:p>
        </w:tc>
      </w:tr>
      <w:tr>
        <w:tc>
          <w:tcPr>
            <w:tcW w:type="dxa" w:w="1728"/>
          </w:tcPr>
          <w:p>
            <w:pPr>
              <w:jc w:val="left"/>
            </w:pPr>
            <w:r/>
            <w:r>
              <w:rPr>
                <w:rFonts w:ascii="Times New Roman" w:hAnsi="Times New Roman"/>
                <w:sz w:val="16"/>
              </w:rPr>
              <w:t>[5]</w:t>
            </w:r>
          </w:p>
        </w:tc>
        <w:tc>
          <w:tcPr>
            <w:tcW w:type="dxa" w:w="1728"/>
          </w:tcPr>
          <w:p>
            <w:pPr>
              <w:jc w:val="left"/>
            </w:pPr>
            <w:r/>
            <w:r>
              <w:rPr>
                <w:rFonts w:ascii="Times New Roman" w:hAnsi="Times New Roman"/>
                <w:sz w:val="16"/>
              </w:rPr>
              <w:t>Insider-threat detection and privacy-preserving data transfer</w:t>
            </w:r>
          </w:p>
        </w:tc>
        <w:tc>
          <w:tcPr>
            <w:tcW w:type="dxa" w:w="1728"/>
          </w:tcPr>
          <w:p>
            <w:pPr>
              <w:jc w:val="left"/>
            </w:pPr>
            <w:r/>
            <w:r>
              <w:rPr>
                <w:rFonts w:ascii="Times New Roman" w:hAnsi="Times New Roman"/>
                <w:sz w:val="16"/>
              </w:rPr>
              <w:t>BiLSTM with Grouped Orthogonal Initialization and Swish activation; proposed homomorphic encryption and federated learning</w:t>
            </w:r>
          </w:p>
        </w:tc>
        <w:tc>
          <w:tcPr>
            <w:tcW w:type="dxa" w:w="1728"/>
          </w:tcPr>
          <w:p>
            <w:pPr>
              <w:jc w:val="left"/>
            </w:pPr>
            <w:r/>
            <w:r>
              <w:rPr>
                <w:rFonts w:ascii="Times New Roman" w:hAnsi="Times New Roman"/>
                <w:sz w:val="16"/>
              </w:rPr>
              <w:t>Reports 95% accuracy, 92% precision, 90% recall, 91% F1, 94% AUC-ROC; claims to outperform XGBoost and LightGBM baselines</w:t>
            </w:r>
          </w:p>
        </w:tc>
        <w:tc>
          <w:tcPr>
            <w:tcW w:type="dxa" w:w="1728"/>
          </w:tcPr>
          <w:p>
            <w:pPr>
              <w:jc w:val="left"/>
            </w:pPr>
            <w:r/>
            <w:r>
              <w:rPr>
                <w:rFonts w:ascii="Times New Roman" w:hAnsi="Times New Roman"/>
                <w:sz w:val="16"/>
              </w:rPr>
              <w:t>No dataset named; internally inconsistent metrics (95% vs 91% accuracy); no latency or on-device cost analysis</w:t>
            </w:r>
          </w:p>
        </w:tc>
      </w:tr>
      <w:tr>
        <w:tc>
          <w:tcPr>
            <w:tcW w:type="dxa" w:w="1728"/>
          </w:tcPr>
          <w:p>
            <w:pPr>
              <w:jc w:val="left"/>
            </w:pPr>
            <w:r/>
            <w:r>
              <w:rPr>
                <w:rFonts w:ascii="Times New Roman" w:hAnsi="Times New Roman"/>
                <w:sz w:val="16"/>
              </w:rPr>
              <w:t>[4]</w:t>
            </w:r>
          </w:p>
        </w:tc>
        <w:tc>
          <w:tcPr>
            <w:tcW w:type="dxa" w:w="1728"/>
          </w:tcPr>
          <w:p>
            <w:pPr>
              <w:jc w:val="left"/>
            </w:pPr>
            <w:r/>
            <w:r>
              <w:rPr>
                <w:rFonts w:ascii="Times New Roman" w:hAnsi="Times New Roman"/>
                <w:sz w:val="16"/>
              </w:rPr>
              <w:t>Machine- and deep-learning methods for malicious insider-threat detection</w:t>
            </w:r>
          </w:p>
        </w:tc>
        <w:tc>
          <w:tcPr>
            <w:tcW w:type="dxa" w:w="1728"/>
          </w:tcPr>
          <w:p>
            <w:pPr>
              <w:jc w:val="left"/>
            </w:pPr>
            <w:r/>
            <w:r>
              <w:rPr>
                <w:rFonts w:ascii="Times New Roman" w:hAnsi="Times New Roman"/>
                <w:sz w:val="16"/>
              </w:rPr>
              <w:t>Literature survey of supervised, unsupervised, semi-supervised, and deep-learning techniques; datasets, metrics, and challenges</w:t>
            </w:r>
          </w:p>
        </w:tc>
        <w:tc>
          <w:tcPr>
            <w:tcW w:type="dxa" w:w="1728"/>
          </w:tcPr>
          <w:p>
            <w:pPr>
              <w:jc w:val="left"/>
            </w:pPr>
            <w:r/>
            <w:r>
              <w:rPr>
                <w:rFonts w:ascii="Times New Roman" w:hAnsi="Times New Roman"/>
                <w:sz w:val="16"/>
              </w:rPr>
              <w:t>Deep models (LSTM, BiLSTM, attention, BERT) capture temporal and semantic patterns best; CMU CERT is dominant benchmark; class imbalance and privacy preservation are key open challenges</w:t>
            </w:r>
          </w:p>
        </w:tc>
        <w:tc>
          <w:tcPr>
            <w:tcW w:type="dxa" w:w="1728"/>
          </w:tcPr>
          <w:p>
            <w:pPr>
              <w:jc w:val="left"/>
            </w:pPr>
            <w:r/>
            <w:r>
              <w:rPr>
                <w:rFonts w:ascii="Times New Roman" w:hAnsi="Times New Roman"/>
                <w:sz w:val="16"/>
              </w:rPr>
              <w:t>No original experiments; heavy reliance on synthetic CERT data; mobile/on-device constraints not specifically examined</w:t>
            </w:r>
          </w:p>
        </w:tc>
      </w:tr>
      <w:tr>
        <w:tc>
          <w:tcPr>
            <w:tcW w:type="dxa" w:w="1728"/>
          </w:tcPr>
          <w:p>
            <w:pPr>
              <w:jc w:val="left"/>
            </w:pPr>
            <w:r/>
            <w:r>
              <w:rPr>
                <w:rFonts w:ascii="Times New Roman" w:hAnsi="Times New Roman"/>
                <w:sz w:val="16"/>
              </w:rPr>
              <w:t>[1]</w:t>
            </w:r>
          </w:p>
        </w:tc>
        <w:tc>
          <w:tcPr>
            <w:tcW w:type="dxa" w:w="1728"/>
          </w:tcPr>
          <w:p>
            <w:pPr>
              <w:jc w:val="left"/>
            </w:pPr>
            <w:r/>
            <w:r>
              <w:rPr>
                <w:rFonts w:ascii="Times New Roman" w:hAnsi="Times New Roman"/>
                <w:sz w:val="16"/>
              </w:rPr>
              <w:t>Threat modelling for enterprise secure messaging applications</w:t>
            </w:r>
          </w:p>
        </w:tc>
        <w:tc>
          <w:tcPr>
            <w:tcW w:type="dxa" w:w="1728"/>
          </w:tcPr>
          <w:p>
            <w:pPr>
              <w:jc w:val="left"/>
            </w:pPr>
            <w:r/>
            <w:r>
              <w:rPr>
                <w:rFonts w:ascii="Times New Roman" w:hAnsi="Times New Roman"/>
                <w:sz w:val="16"/>
              </w:rPr>
              <w:t>Mixed-method six-step process using STRIDE, PASTA, and MITRE ATT&amp;CK; case studies and attack simulations</w:t>
            </w:r>
          </w:p>
        </w:tc>
        <w:tc>
          <w:tcPr>
            <w:tcW w:type="dxa" w:w="1728"/>
          </w:tcPr>
          <w:p>
            <w:pPr>
              <w:jc w:val="left"/>
            </w:pPr>
            <w:r/>
            <w:r>
              <w:rPr>
                <w:rFonts w:ascii="Times New Roman" w:hAnsi="Times New Roman"/>
                <w:sz w:val="16"/>
              </w:rPr>
              <w:t>Categorizes threats via STRIDE; finds high-priority risks in insider misuse and API/third-party integration; recommends fusing AI-driven anomaly detection with threat modelling</w:t>
            </w:r>
          </w:p>
        </w:tc>
        <w:tc>
          <w:tcPr>
            <w:tcW w:type="dxa" w:w="1728"/>
          </w:tcPr>
          <w:p>
            <w:pPr>
              <w:jc w:val="left"/>
            </w:pPr>
            <w:r/>
            <w:r>
              <w:rPr>
                <w:rFonts w:ascii="Times New Roman" w:hAnsi="Times New Roman"/>
                <w:sz w:val="16"/>
              </w:rPr>
              <w:t>No quantitative results; validation via simulations and case studies that may not replicate real environments; light cryptographic depth</w:t>
            </w:r>
          </w:p>
        </w:tc>
      </w:tr>
      <w:tr>
        <w:tc>
          <w:tcPr>
            <w:tcW w:type="dxa" w:w="1728"/>
          </w:tcPr>
          <w:p>
            <w:pPr>
              <w:jc w:val="left"/>
            </w:pPr>
            <w:r/>
            <w:r>
              <w:rPr>
                <w:rFonts w:ascii="Times New Roman" w:hAnsi="Times New Roman"/>
                <w:sz w:val="16"/>
              </w:rPr>
              <w:t>[3]</w:t>
            </w:r>
          </w:p>
        </w:tc>
        <w:tc>
          <w:tcPr>
            <w:tcW w:type="dxa" w:w="1728"/>
          </w:tcPr>
          <w:p>
            <w:pPr>
              <w:jc w:val="left"/>
            </w:pPr>
            <w:r/>
            <w:r>
              <w:rPr>
                <w:rFonts w:ascii="Times New Roman" w:hAnsi="Times New Roman"/>
                <w:sz w:val="16"/>
              </w:rPr>
              <w:t>E2EE chat using Diffie-Hellman/ECDH and AES-256 in a microservice architecture</w:t>
            </w:r>
          </w:p>
        </w:tc>
        <w:tc>
          <w:tcPr>
            <w:tcW w:type="dxa" w:w="1728"/>
          </w:tcPr>
          <w:p>
            <w:pPr>
              <w:jc w:val="left"/>
            </w:pPr>
            <w:r/>
            <w:r>
              <w:rPr>
                <w:rFonts w:ascii="Times New Roman" w:hAnsi="Times New Roman"/>
                <w:sz w:val="16"/>
              </w:rPr>
              <w:t>ECDH key exchange via Web Crypto API; AES-256-CBC client-side encryption; microservice backend; functional testing and AES benchmark</w:t>
            </w:r>
          </w:p>
        </w:tc>
        <w:tc>
          <w:tcPr>
            <w:tcW w:type="dxa" w:w="1728"/>
          </w:tcPr>
          <w:p>
            <w:pPr>
              <w:jc w:val="left"/>
            </w:pPr>
            <w:r/>
            <w:r>
              <w:rPr>
                <w:rFonts w:ascii="Times New Roman" w:hAnsi="Times New Roman"/>
                <w:sz w:val="16"/>
              </w:rPr>
              <w:t>Server only sees public keys; messages stored encrypted in PostgreSQL, decryptable only by holders of the shared key; scalable, modular backend</w:t>
            </w:r>
          </w:p>
        </w:tc>
        <w:tc>
          <w:tcPr>
            <w:tcW w:type="dxa" w:w="1728"/>
          </w:tcPr>
          <w:p>
            <w:pPr>
              <w:jc w:val="left"/>
            </w:pPr>
            <w:r/>
            <w:r>
              <w:rPr>
                <w:rFonts w:ascii="Times New Roman" w:hAnsi="Times New Roman"/>
                <w:sz w:val="16"/>
              </w:rPr>
              <w:t>ECDH lacks authentication (out-of-band MitM dependence); AES-CBC without authenticated encryption; SMS-based login; benchmark results only as a figure</w:t>
            </w:r>
          </w:p>
        </w:tc>
      </w:tr>
    </w:tbl>
    <w:p>
      <w:pPr>
        <w:sectPr>
          <w:type w:val="continuous"/>
          <w:pgSz w:w="11909" w:h="16834"/>
          <w:pgMar w:top="1008" w:right="864" w:bottom="1008" w:left="864" w:header="720" w:footer="720" w:gutter="0"/>
          <w:cols w:space="425" w:num="1" w:equalWidth="1"/>
          <w:docGrid w:linePitch="360"/>
        </w:sectPr>
      </w:pPr>
    </w:p>
    <w:p>
      <w:pPr>
        <w:spacing w:before="200" w:after="80" w:line="240" w:lineRule="auto"/>
        <w:jc w:val="center"/>
      </w:pPr>
      <w:r>
        <w:rPr>
          <w:rFonts w:ascii="Times New Roman" w:hAnsi="Times New Roman"/>
          <w:b/>
          <w:i w:val="0"/>
          <w:sz w:val="20"/>
        </w:rPr>
        <w:t>IV. ZERO-KNOWLEDGE AUTHENTICATION AND PRIVACY</w:t>
      </w:r>
    </w:p>
    <w:p>
      <w:pPr>
        <w:spacing w:before="0" w:after="60" w:line="240" w:lineRule="auto"/>
        <w:ind w:firstLine="288"/>
        <w:jc w:val="both"/>
      </w:pPr>
      <w:r>
        <w:rPr>
          <w:rFonts w:ascii="Times New Roman" w:hAnsi="Times New Roman"/>
          <w:b w:val="0"/>
          <w:i w:val="0"/>
          <w:sz w:val="20"/>
        </w:rPr>
        <w:t>Conventional authentication mechanisms require users to disclose sensitive credentials such as passwords or biometric factors, exposing them to data breaches, identity theft, and the single points of failure inherent in centralized verification [10], [11]. This reliance on secret transmission is precisely the weakness that the manual fingerprint-verification ceremonies of contemporary E2EE messengers attempt, and frequently fail, to compensate for. As introduced earlier, a ZKP offers a fundamentally different paradigm: it confirms possession of a secret without ever transmitting it, leaking nothing to the verifier beyond the validity of the claim [10]. This section deepens that foundation, reviewing the theory of ZKPs, their lightweight realization for resource-constrained devices, and their application to decentralized identity management, thereby establishing the evidentiary basis for SentriZK's first pillar: non-interactive zk-SNARK (Groth16) authentication that replaces error-prone disclosure-based login.</w:t>
      </w:r>
    </w:p>
    <w:p>
      <w:pPr>
        <w:spacing w:before="120" w:after="40" w:line="240" w:lineRule="auto"/>
        <w:jc w:val="left"/>
      </w:pPr>
      <w:r>
        <w:rPr>
          <w:rFonts w:ascii="Times New Roman" w:hAnsi="Times New Roman"/>
          <w:b w:val="0"/>
          <w:i/>
          <w:sz w:val="20"/>
        </w:rPr>
        <w:t>A. Foundations of Zero-Knowledge Proofs</w:t>
      </w:r>
    </w:p>
    <w:p>
      <w:pPr>
        <w:spacing w:before="0" w:after="60" w:line="240" w:lineRule="auto"/>
        <w:ind w:firstLine="288"/>
        <w:jc w:val="both"/>
      </w:pPr>
      <w:r>
        <w:rPr>
          <w:rFonts w:ascii="Times New Roman" w:hAnsi="Times New Roman"/>
          <w:b w:val="0"/>
          <w:i w:val="0"/>
          <w:sz w:val="20"/>
        </w:rPr>
        <w:t>Bhattacharya et al. provide a comparative analysis of ZKP theory that grounds the design rationale for privacy-preserving authentication [10]. They distinguish interactive proofs, which demand multiple rounds of message exchange between prover and verifier, from non-interactive proofs, which collapse this exchange into a single message and thereby reduce both prover and verifier burden [10]. Within the non-interactive class, the authors contrast two dominant constructions. zk-SNARKs (succinct non-interactive arguments of knowledge) produce small proofs that are fast to verify but depend on a trusted setup phase to generate their public parameters; zk-STARKs eliminate this trusted setup and add quantum resistance, but at the cost of substantially larger proof sizes [10]. This trade-off between succinctness and setup assumptions is central to any deployment decision, because the trusted-setup requirement of zk-SNARKs concentrates trust at parameter-generation time, whereas the larger proofs of zk-STARKs impose bandwidth and storage costs that are unattractive for mobile clients.</w:t>
      </w:r>
    </w:p>
    <w:p>
      <w:pPr>
        <w:spacing w:before="0" w:after="60" w:line="240" w:lineRule="auto"/>
        <w:ind w:firstLine="288"/>
        <w:jc w:val="both"/>
      </w:pPr>
      <w:r>
        <w:rPr>
          <w:rFonts w:ascii="Times New Roman" w:hAnsi="Times New Roman"/>
          <w:b w:val="0"/>
          <w:i w:val="0"/>
          <w:sz w:val="20"/>
        </w:rPr>
        <w:t>Beyond the SNARK-versus-STARK distinction, the same review argues that ZKP-based authentication is superior to traditional password-based methods across privacy preservation, computational efficiency, and scalability, since the prover never discloses the underlying secret to the verifier [10]. The authors survey real-world ZKP applications spanning blockchain, zero-trust architecture, cloud computing, and private payments, demonstrating practical versatility beyond cryptocurrency, and they identify the principal deployment obstacles as computational complexity, the need for specialized cryptographic expertise, and the difficulty of integrating ZKP into existing infrastructure [10]. Their forward-looking recommendations, including protocol optimization for resource-constrained and real-time use, user-friendly frameworks, and alignment with privacy regulations such as GDPR, frame the engineering concerns most relevant to a mobile-first deployment [10]. For SentriZK, this analysis reinforces the choice of non-interactive, succinct zk-SNARKs over interactive or STARK-based alternatives, while flagging trusted setup and computational cost as the design risks that the architecture must manage.</w:t>
      </w:r>
    </w:p>
    <w:p>
      <w:pPr>
        <w:spacing w:before="120" w:after="40" w:line="240" w:lineRule="auto"/>
        <w:jc w:val="left"/>
      </w:pPr>
      <w:r>
        <w:rPr>
          <w:rFonts w:ascii="Times New Roman" w:hAnsi="Times New Roman"/>
          <w:b w:val="0"/>
          <w:i/>
          <w:sz w:val="20"/>
        </w:rPr>
        <w:t>B. Lightweight Zero-Knowledge Authentication for Constrained Devices</w:t>
      </w:r>
    </w:p>
    <w:p>
      <w:pPr>
        <w:spacing w:before="0" w:after="60" w:line="240" w:lineRule="auto"/>
        <w:ind w:firstLine="288"/>
        <w:jc w:val="both"/>
      </w:pPr>
      <w:r>
        <w:rPr>
          <w:rFonts w:ascii="Times New Roman" w:hAnsi="Times New Roman"/>
          <w:b w:val="0"/>
          <w:i w:val="0"/>
          <w:sz w:val="20"/>
        </w:rPr>
        <w:t>Chen et al. survey zero-knowledge authentication for the Internet of Things, a domain whose resource constraints closely parallel those of mobile messaging clients [11]. The survey observes that traditional IoT authentication transmits sensitive factors such as passwords, PINs, and biometrics and depends on PKI/CA-based trust, which leaks user privacy, relies on costly centralized third parties, and is too heavy for constrained devices [11]. Against this backdrop, the authors establish that ZKP natively provides anonymity and man-in-the-middle resistance while also defending against forgery, replay, password attacks, and tracking, leaking no secret to the verifier [11]. Critically for low-power deployment, the survey reports that ZKP incurs lower computational and communication overhead than symmetric-key distribution and PKI, and that non-interactive ZKP, realized via the Fiat-Shamir heuristic, removes the heavy multi-round exchange of interactive ZKP that would otherwise be prohibitive at scale [11].</w:t>
      </w:r>
    </w:p>
    <w:p>
      <w:pPr>
        <w:spacing w:before="0" w:after="60" w:line="240" w:lineRule="auto"/>
        <w:ind w:firstLine="288"/>
        <w:jc w:val="both"/>
      </w:pPr>
      <w:r>
        <w:rPr>
          <w:rFonts w:ascii="Times New Roman" w:hAnsi="Times New Roman"/>
          <w:b w:val="0"/>
          <w:i w:val="0"/>
          <w:sz w:val="20"/>
        </w:rPr>
        <w:t>The survey consolidates quantitative efficiency evidence from primary works that is directly pertinent to energy- and compute-bounded settings. Multi-graph schemes (M-ZAS) are reported as approximately three times more efficient than GMW-based ZKP and seven times more efficient than traditional authentication mechanisms; TinyZKP is cited as 1.9 and 1.4 times faster than ECDSA-based TinyECC and WM-ECC with 48% and 28% lower energy cost respectively; BANZKP is reported as roughly seventeen times more efficient in running time than TinyZKP with 94.11% less energy; and LiteZKP is cited as reducing the energy consumption and latency of IoT edge platforms by more than 55% [11]. The authors further tabulate recent ZKP constructions by communication complexity and security assumption, highlighting lattice-based ZKP as an effective post-quantum direction [11]. These figures, drawn from surveyed primary works rather than original experiments, collectively validate that non-interactive, lightweight zero-knowledge authentication can meet the strict energy and computation budgets of constrained hardware, motivating SentriZK's adoption of NIZK/zk-SNARK (Groth16) authentication for on-device, mobile-first operation in place of password transmission and manual verification ceremonies [11].</w:t>
      </w:r>
    </w:p>
    <w:p>
      <w:pPr>
        <w:spacing w:before="120" w:after="40" w:line="240" w:lineRule="auto"/>
        <w:jc w:val="left"/>
      </w:pPr>
      <w:r>
        <w:rPr>
          <w:rFonts w:ascii="Times New Roman" w:hAnsi="Times New Roman"/>
          <w:b w:val="0"/>
          <w:i/>
          <w:sz w:val="20"/>
        </w:rPr>
        <w:t>C. ZKP-Based Identity Management</w:t>
      </w:r>
    </w:p>
    <w:p>
      <w:pPr>
        <w:spacing w:before="0" w:after="60" w:line="240" w:lineRule="auto"/>
        <w:ind w:firstLine="288"/>
        <w:jc w:val="both"/>
      </w:pPr>
      <w:r>
        <w:rPr>
          <w:rFonts w:ascii="Times New Roman" w:hAnsi="Times New Roman"/>
          <w:b w:val="0"/>
          <w:i w:val="0"/>
          <w:sz w:val="20"/>
        </w:rPr>
        <w:t>Luong and Park present the closest published analogue to SentriZK's authentication pillar: a privacy-preserving identity management system that combines a public blockchain with zk-SNARK to deliver password-less, secret-less anonymous authentication [12]. Their work addresses a residual privacy gap in prior blockchain identity systems, which still rely on a trusted identity provider that knows the mapping between a user's pseudonym and their primary identity attribute, creating a single point of privacy failure under a malicious or colluding provider [12]. The proposed system hides the primary identity attribute even from the identity provider by splitting it into encrypted Shamir Secret Sharing shares distributed across validators, so that opening a malicious user's identity requires the cooperation of k of n validators (with k=6, n=10 in the simulation) tied to blockchain consensus [12]. A per-proof nonce identifier recorded by the verifier prevents certificate-reuse and collusion attacks, and hash-based commitments enable selective disclosure of minor identity attributes, a feature absent from compared prior work [12]. Security for unforgeability, anonymity, and traceability is argued through game-based proofs under standard cryptographic assumptions [12].</w:t>
      </w:r>
    </w:p>
    <w:p>
      <w:pPr>
        <w:spacing w:before="0" w:after="60" w:line="240" w:lineRule="auto"/>
        <w:ind w:firstLine="288"/>
        <w:jc w:val="both"/>
      </w:pPr>
      <w:r>
        <w:rPr>
          <w:rFonts w:ascii="Times New Roman" w:hAnsi="Times New Roman"/>
          <w:b w:val="0"/>
          <w:i w:val="0"/>
          <w:sz w:val="20"/>
        </w:rPr>
        <w:t>The implementation, evaluated off-chain with ZoKrates (PGHR13/Pinocchio scheme over ALT-BN128/Baby Jubjub curves) and on-chain on the Ropsten testnet, also quantifies the cost that any mobile adaptation must confront [12]. The zk-SNARK proving key for the authentication circuit reaches 192 MB, user proof generation takes roughly 37 seconds, and the authors note that resource-constrained devices with under 4 GB of RAM cannot run the scheme, particularly for larger validator counts [12]. On-chain gas costs are likewise heavy: authentication consumes approximately 1.85 million gas and a full identity-opening operation approximately 5.77 million gas, against the 21,000-gas cost of a standard token transfer, making naive deployment expensive [12]. For SentriZK, this study supplies both motivation and caution. It demonstrates that the Pinocchio/Groth16 zk-SNARK family can deliver anonymous, identity-hiding authentication on a real cryptographic stack, directly supporting the goal of replacing fragile manual ceremonies; yet its large keys, multi-second proving times, and gas-cost bottleneck are explicit warnings that SentriZK's mobile-first architecture must favor lighter proving and zk-SNARK-friendly circuits, and that an enterprise deployment should avoid on-chain settlement for routine authentication while preserving the selective-disclosure and traceability balance the paper exemplifies [12].</w:t>
      </w:r>
    </w:p>
    <w:p>
      <w:pPr>
        <w:spacing w:before="0" w:after="60" w:line="240" w:lineRule="auto"/>
        <w:ind w:firstLine="288"/>
        <w:jc w:val="both"/>
      </w:pPr>
      <w:r>
        <w:rPr>
          <w:rFonts w:ascii="Times New Roman" w:hAnsi="Times New Roman"/>
          <w:b w:val="0"/>
          <w:i w:val="0"/>
          <w:sz w:val="20"/>
        </w:rPr>
        <w:t>Taken together, the three Domain 2 sources establish a coherent rationale for SentriZK's authentication pillar. They confirm that zero-knowledge proofs eliminate the disclosure-based risk of password authentication [10], that non-interactive and lightweight ZKP can satisfy the energy and computation constraints characteristic of mobile devices [11], and that zk-SNARK-based identity management can achieve privacy-preserving authentication on a deployed stack while exposing the cost bottlenecks that a mobile design must overcome [12]. Table II summarizes and contrasts these approaches.</w:t>
      </w:r>
    </w:p>
    <w:p>
      <w:pPr>
        <w:sectPr>
          <w:type w:val="continuous"/>
          <w:pgSz w:w="11909" w:h="16834"/>
          <w:pgMar w:top="1008" w:right="864" w:bottom="1008" w:left="864" w:header="720" w:footer="720" w:gutter="0"/>
          <w:cols w:space="425" w:num="2" w:equalWidth="1"/>
          <w:docGrid w:linePitch="360"/>
        </w:sectPr>
      </w:pPr>
    </w:p>
    <w:p>
      <w:pPr>
        <w:spacing w:before="120" w:after="60" w:line="240" w:lineRule="auto"/>
        <w:jc w:val="center"/>
      </w:pPr>
      <w:r>
        <w:rPr>
          <w:rFonts w:ascii="Times New Roman" w:hAnsi="Times New Roman"/>
          <w:b/>
          <w:i w:val="0"/>
          <w:sz w:val="16"/>
        </w:rPr>
        <w:t>TABLE II. COMPARISON OF ZERO-KNOWLEDGE AUTHENTICATION APPROACHES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16"/>
              </w:rPr>
              <w:t>Study</w:t>
            </w:r>
          </w:p>
        </w:tc>
        <w:tc>
          <w:tcPr>
            <w:tcW w:type="dxa" w:w="1728"/>
          </w:tcPr>
          <w:p>
            <w:pPr>
              <w:jc w:val="center"/>
            </w:pPr>
            <w:r/>
            <w:r>
              <w:rPr>
                <w:rFonts w:ascii="Times New Roman" w:hAnsi="Times New Roman"/>
                <w:b/>
                <w:sz w:val="16"/>
              </w:rPr>
              <w:t>Approach</w:t>
            </w:r>
          </w:p>
        </w:tc>
        <w:tc>
          <w:tcPr>
            <w:tcW w:type="dxa" w:w="1728"/>
          </w:tcPr>
          <w:p>
            <w:pPr>
              <w:jc w:val="center"/>
            </w:pPr>
            <w:r/>
            <w:r>
              <w:rPr>
                <w:rFonts w:ascii="Times New Roman" w:hAnsi="Times New Roman"/>
                <w:b/>
                <w:sz w:val="16"/>
              </w:rPr>
              <w:t>Strength</w:t>
            </w:r>
          </w:p>
        </w:tc>
        <w:tc>
          <w:tcPr>
            <w:tcW w:type="dxa" w:w="1728"/>
          </w:tcPr>
          <w:p>
            <w:pPr>
              <w:jc w:val="center"/>
            </w:pPr>
            <w:r/>
            <w:r>
              <w:rPr>
                <w:rFonts w:ascii="Times New Roman" w:hAnsi="Times New Roman"/>
                <w:b/>
                <w:sz w:val="16"/>
              </w:rPr>
              <w:t>Limitation</w:t>
            </w:r>
          </w:p>
        </w:tc>
        <w:tc>
          <w:tcPr>
            <w:tcW w:type="dxa" w:w="1728"/>
          </w:tcPr>
          <w:p>
            <w:pPr>
              <w:jc w:val="center"/>
            </w:pPr>
            <w:r/>
            <w:r>
              <w:rPr>
                <w:rFonts w:ascii="Times New Roman" w:hAnsi="Times New Roman"/>
                <w:b/>
                <w:sz w:val="16"/>
              </w:rPr>
              <w:t>Relevance to SentriZK</w:t>
            </w:r>
          </w:p>
        </w:tc>
      </w:tr>
      <w:tr>
        <w:tc>
          <w:tcPr>
            <w:tcW w:type="dxa" w:w="1728"/>
          </w:tcPr>
          <w:p>
            <w:pPr>
              <w:jc w:val="left"/>
            </w:pPr>
            <w:r/>
            <w:r>
              <w:rPr>
                <w:rFonts w:ascii="Times New Roman" w:hAnsi="Times New Roman"/>
                <w:sz w:val="16"/>
              </w:rPr>
              <w:t>Bhattacharya et al. [10]</w:t>
            </w:r>
          </w:p>
        </w:tc>
        <w:tc>
          <w:tcPr>
            <w:tcW w:type="dxa" w:w="1728"/>
          </w:tcPr>
          <w:p>
            <w:pPr>
              <w:jc w:val="left"/>
            </w:pPr>
            <w:r/>
            <w:r>
              <w:rPr>
                <w:rFonts w:ascii="Times New Roman" w:hAnsi="Times New Roman"/>
                <w:sz w:val="16"/>
              </w:rPr>
              <w:t>Literature review and comparative analysis of ZKP theory, contrasting zk-SNARK and zk-STARK for privacy-preserving authentication.</w:t>
            </w:r>
          </w:p>
        </w:tc>
        <w:tc>
          <w:tcPr>
            <w:tcW w:type="dxa" w:w="1728"/>
          </w:tcPr>
          <w:p>
            <w:pPr>
              <w:jc w:val="left"/>
            </w:pPr>
            <w:r/>
            <w:r>
              <w:rPr>
                <w:rFonts w:ascii="Times New Roman" w:hAnsi="Times New Roman"/>
                <w:sz w:val="16"/>
              </w:rPr>
              <w:t>Clear synthesis of interactive vs. non-interactive proofs and the trusted-setup, proof-size, and quantum-resistance trade-offs; frames ZKP auth as superior to passwords in privacy, efficiency, and scalability.</w:t>
            </w:r>
          </w:p>
        </w:tc>
        <w:tc>
          <w:tcPr>
            <w:tcW w:type="dxa" w:w="1728"/>
          </w:tcPr>
          <w:p>
            <w:pPr>
              <w:jc w:val="left"/>
            </w:pPr>
            <w:r/>
            <w:r>
              <w:rPr>
                <w:rFonts w:ascii="Times New Roman" w:hAnsi="Times New Roman"/>
                <w:sz w:val="16"/>
              </w:rPr>
              <w:t>Purely conceptual with no empirical evaluation, benchmarks, or mobile/on-device considerations; efficiency and scalability claims are qualitative.</w:t>
            </w:r>
          </w:p>
        </w:tc>
        <w:tc>
          <w:tcPr>
            <w:tcW w:type="dxa" w:w="1728"/>
          </w:tcPr>
          <w:p>
            <w:pPr>
              <w:jc w:val="left"/>
            </w:pPr>
            <w:r/>
            <w:r>
              <w:rPr>
                <w:rFonts w:ascii="Times New Roman" w:hAnsi="Times New Roman"/>
                <w:sz w:val="16"/>
              </w:rPr>
              <w:t>Justifies SentriZK's choice of succinct, non-interactive zk-SNARKs (Groth16) over STARK-based or interactive alternatives and flags trusted setup and compute cost as design risks.</w:t>
            </w:r>
          </w:p>
        </w:tc>
      </w:tr>
      <w:tr>
        <w:tc>
          <w:tcPr>
            <w:tcW w:type="dxa" w:w="1728"/>
          </w:tcPr>
          <w:p>
            <w:pPr>
              <w:jc w:val="left"/>
            </w:pPr>
            <w:r/>
            <w:r>
              <w:rPr>
                <w:rFonts w:ascii="Times New Roman" w:hAnsi="Times New Roman"/>
                <w:sz w:val="16"/>
              </w:rPr>
              <w:t>Chen et al. [11]</w:t>
            </w:r>
          </w:p>
        </w:tc>
        <w:tc>
          <w:tcPr>
            <w:tcW w:type="dxa" w:w="1728"/>
          </w:tcPr>
          <w:p>
            <w:pPr>
              <w:jc w:val="left"/>
            </w:pPr>
            <w:r/>
            <w:r>
              <w:rPr>
                <w:rFonts w:ascii="Times New Roman" w:hAnsi="Times New Roman"/>
                <w:sz w:val="16"/>
              </w:rPr>
              <w:t>Survey of zero-knowledge authentication for IoT, covering interactive/non-interactive ZKP, Fiat-Shamir NIZK, and constructions classified by network and security property.</w:t>
            </w:r>
          </w:p>
        </w:tc>
        <w:tc>
          <w:tcPr>
            <w:tcW w:type="dxa" w:w="1728"/>
          </w:tcPr>
          <w:p>
            <w:pPr>
              <w:jc w:val="left"/>
            </w:pPr>
            <w:r/>
            <w:r>
              <w:rPr>
                <w:rFonts w:ascii="Times New Roman" w:hAnsi="Times New Roman"/>
                <w:sz w:val="16"/>
              </w:rPr>
              <w:t>Establishes that ZKP provides native anonymity and MITM resistance with lower overhead than PKI; consolidates energy/efficiency figures (e.g., LiteZKP &gt;55% lower energy and latency; BANZKP 94.11% less energy) showing feasibility on constrained devices.</w:t>
            </w:r>
          </w:p>
        </w:tc>
        <w:tc>
          <w:tcPr>
            <w:tcW w:type="dxa" w:w="1728"/>
          </w:tcPr>
          <w:p>
            <w:pPr>
              <w:jc w:val="left"/>
            </w:pPr>
            <w:r/>
            <w:r>
              <w:rPr>
                <w:rFonts w:ascii="Times New Roman" w:hAnsi="Times New Roman"/>
                <w:sz w:val="16"/>
              </w:rPr>
              <w:t>All efficiency and energy numbers are second-hand from cited primary works; focused on IoT/embedded scenarios, so mapping to a smartphone messenger requires adaptation; limited treatment of Groth16 in the authentication context.</w:t>
            </w:r>
          </w:p>
        </w:tc>
        <w:tc>
          <w:tcPr>
            <w:tcW w:type="dxa" w:w="1728"/>
          </w:tcPr>
          <w:p>
            <w:pPr>
              <w:jc w:val="left"/>
            </w:pPr>
            <w:r/>
            <w:r>
              <w:rPr>
                <w:rFonts w:ascii="Times New Roman" w:hAnsi="Times New Roman"/>
                <w:sz w:val="16"/>
              </w:rPr>
              <w:t>Supports lightweight, non-interactive ZKP authentication suited to SentriZK's mobile, on-device, energy-bounded deployment in place of password transmission and manual ceremonies.</w:t>
            </w:r>
          </w:p>
        </w:tc>
      </w:tr>
      <w:tr>
        <w:tc>
          <w:tcPr>
            <w:tcW w:type="dxa" w:w="1728"/>
          </w:tcPr>
          <w:p>
            <w:pPr>
              <w:jc w:val="left"/>
            </w:pPr>
            <w:r/>
            <w:r>
              <w:rPr>
                <w:rFonts w:ascii="Times New Roman" w:hAnsi="Times New Roman"/>
                <w:sz w:val="16"/>
              </w:rPr>
              <w:t>Luong and Park [12]</w:t>
            </w:r>
          </w:p>
        </w:tc>
        <w:tc>
          <w:tcPr>
            <w:tcW w:type="dxa" w:w="1728"/>
          </w:tcPr>
          <w:p>
            <w:pPr>
              <w:jc w:val="left"/>
            </w:pPr>
            <w:r/>
            <w:r>
              <w:rPr>
                <w:rFonts w:ascii="Times New Roman" w:hAnsi="Times New Roman"/>
                <w:sz w:val="16"/>
              </w:rPr>
              <w:t>Blockchain-based privacy-preserving identity management using zk-SNARK (Pinocchio/PGHR13), Shamir Secret Sharing, ElGamal, and EdDSA, with selective disclosure and threshold identity-opening.</w:t>
            </w:r>
          </w:p>
        </w:tc>
        <w:tc>
          <w:tcPr>
            <w:tcW w:type="dxa" w:w="1728"/>
          </w:tcPr>
          <w:p>
            <w:pPr>
              <w:jc w:val="left"/>
            </w:pPr>
            <w:r/>
            <w:r>
              <w:rPr>
                <w:rFonts w:ascii="Times New Roman" w:hAnsi="Times New Roman"/>
                <w:sz w:val="16"/>
              </w:rPr>
              <w:t>Delivers password-less, identity-hiding anonymous authentication on a real ZoKrates/Solidity stack; removes the trusted identity provider as a single point of privacy failure; adds collusion-resistant per-proof nonces and selective disclosure with game-based security proofs.</w:t>
            </w:r>
          </w:p>
        </w:tc>
        <w:tc>
          <w:tcPr>
            <w:tcW w:type="dxa" w:w="1728"/>
          </w:tcPr>
          <w:p>
            <w:pPr>
              <w:jc w:val="left"/>
            </w:pPr>
            <w:r/>
            <w:r>
              <w:rPr>
                <w:rFonts w:ascii="Times New Roman" w:hAnsi="Times New Roman"/>
                <w:sz w:val="16"/>
              </w:rPr>
              <w:t>Heavy zk-SNARK cost (192 MB proving key, ~37 s proof generation, infeasible under 4 GB RAM) and high on-chain gas (auth ~1.85M; full open ~5.77M) limit mobile applicability; requires trusted setup; collusion of k+ validators undetectable.</w:t>
            </w:r>
          </w:p>
        </w:tc>
        <w:tc>
          <w:tcPr>
            <w:tcW w:type="dxa" w:w="1728"/>
          </w:tcPr>
          <w:p>
            <w:pPr>
              <w:jc w:val="left"/>
            </w:pPr>
            <w:r/>
            <w:r>
              <w:rPr>
                <w:rFonts w:ascii="Times New Roman" w:hAnsi="Times New Roman"/>
                <w:sz w:val="16"/>
              </w:rPr>
              <w:t>Closest published analogue to SentriZK's authentication pillar; demonstrates the Groth16 family can authenticate without revealing identity, while its cost figures warn SentriZK toward lighter proving, zk-SNARK-friendly circuits, and avoidance of on-chain settlement for routine login.</w:t>
            </w:r>
          </w:p>
        </w:tc>
      </w:tr>
    </w:tbl>
    <w:p>
      <w:pPr>
        <w:sectPr>
          <w:type w:val="continuous"/>
          <w:pgSz w:w="11909" w:h="16834"/>
          <w:pgMar w:top="1008" w:right="864" w:bottom="1008" w:left="864" w:header="720" w:footer="720" w:gutter="0"/>
          <w:cols w:space="425" w:num="1" w:equalWidth="1"/>
          <w:docGrid w:linePitch="360"/>
        </w:sectPr>
      </w:pPr>
    </w:p>
    <w:p>
      <w:pPr>
        <w:spacing w:before="200" w:after="80" w:line="240" w:lineRule="auto"/>
        <w:jc w:val="center"/>
      </w:pPr>
      <w:r>
        <w:rPr>
          <w:rFonts w:ascii="Times New Roman" w:hAnsi="Times New Roman"/>
          <w:b/>
          <w:i w:val="0"/>
          <w:sz w:val="20"/>
        </w:rPr>
        <w:t>V. ON-DEVICE AI FOR ANOMALY AND PHISHING DETECTION</w:t>
      </w:r>
    </w:p>
    <w:p>
      <w:pPr>
        <w:spacing w:before="0" w:after="60" w:line="240" w:lineRule="auto"/>
        <w:ind w:firstLine="288"/>
        <w:jc w:val="both"/>
      </w:pPr>
      <w:r>
        <w:rPr>
          <w:rFonts w:ascii="Times New Roman" w:hAnsi="Times New Roman"/>
          <w:b w:val="0"/>
          <w:i w:val="0"/>
          <w:sz w:val="20"/>
        </w:rPr>
        <w:t>Whereas the preceding domain secured the trust layer through zero-knowledge authentication, this domain addresses what happens once a message has been authenticated and decrypted at the endpoint. SentriZK's second pillar embeds intelligent threat detection directly on the user's device, screening message content and user-behaviour signals for anomalies and social-engineering attacks without exporting data to the cloud. Realising this pillar requires models that are simultaneously accurate and lightweight enough for mobile inference via TensorFlow Lite. The following review synthesises Domain 3 evidence on anomaly detection, lightweight on-device phishing and smishing detection, and hybrid machine-learning approaches to URL-based phishing, establishing both the feasibility of and the constraints on privacy-preserving, mobile-first detection.</w:t>
      </w:r>
    </w:p>
    <w:p>
      <w:pPr>
        <w:spacing w:before="120" w:after="40" w:line="240" w:lineRule="auto"/>
        <w:jc w:val="left"/>
      </w:pPr>
      <w:r>
        <w:rPr>
          <w:rFonts w:ascii="Times New Roman" w:hAnsi="Times New Roman"/>
          <w:b w:val="0"/>
          <w:i/>
          <w:sz w:val="20"/>
        </w:rPr>
        <w:t>A. Anomaly Detection: Machine vs Deep Learning</w:t>
      </w:r>
    </w:p>
    <w:p>
      <w:pPr>
        <w:spacing w:before="0" w:after="60" w:line="240" w:lineRule="auto"/>
        <w:ind w:firstLine="288"/>
        <w:jc w:val="both"/>
      </w:pPr>
      <w:r>
        <w:rPr>
          <w:rFonts w:ascii="Times New Roman" w:hAnsi="Times New Roman"/>
          <w:b w:val="0"/>
          <w:i w:val="0"/>
          <w:sz w:val="20"/>
        </w:rPr>
        <w:t>Anomaly detection identifies data instances or events that deviate from expected behaviour, a task complicated by the scarcity of anomalous samples, the lack of ground-truth labels, environmental variability, and noisy, high-dimensional data [6]. A systematic review of machine-learning (ML) and deep-learning (DL) anomaly-detection techniques covering 2019-2021 categorises anomalies into point, contextual, and collective types and contrasts classical ML methods (k-nearest neighbours, support vector machines, decision trees, random forests, swarm intelligence) with DL methods (convolutional neural networks, LSTM networks, autoencoders, generative adversarial networks, and attention networks) [6]. The review concludes that deep learning has driven major advances over classical statistical and ML methods, particularly for high-dimensional, temporal, and spatial data, while each technique carries clear trade-offs: random forests and AdaBoost are computationally expensive and noise-sensitive, one-class SVM underfits with noisy data or when features exceed training samples, and unsupervised methods such as hierarchical temporal memory yield lower accuracy [6].</w:t>
      </w:r>
    </w:p>
    <w:p>
      <w:pPr>
        <w:spacing w:before="0" w:after="60" w:line="240" w:lineRule="auto"/>
        <w:ind w:firstLine="288"/>
        <w:jc w:val="both"/>
      </w:pPr>
      <w:r>
        <w:rPr>
          <w:rFonts w:ascii="Times New Roman" w:hAnsi="Times New Roman"/>
          <w:b w:val="0"/>
          <w:i w:val="0"/>
          <w:sz w:val="20"/>
        </w:rPr>
        <w:t>Across the surveyed works, reported accuracies are high but heterogeneous in their datasets and settings, and therefore not directly comparable: examples include a neural-network detector reaching 0.990 accuracy on the DS2OS dataset, an LSTM encoder-decoder reaching 0.978 on real-world data, and an AD-IoT model attaining 99.34% classification accuracy on UNSW-NB15 [6]. Of particular relevance to SentriZK, the review highlights the work of Khokhlov et al., which demonstrates LSTM-based anomaly detection of complex threats on mobile and Android devices within monitored data streams, while noting that LSTM requires significant time and bandwidth [6]. The survey identifies open challenges that directly shape SentriZK's design space: the nature of the input dataset, data-stream and limited-memory detection, noise and data complexity, the unknown nature of anomalies (lack of labels), the time-complexity-versus-accuracy trade-off, and the absence of standardised benchmark datasets [6]. Its future directions, including richer datasets, detection using low-cost sensors and small datasets, and global benchmark datasets, reinforce the case for efficient, low-resource models suitable for on-device deployment [6]. These findings ground SentriZK's intent to adapt deep-learning sequence models for anomaly and insider-threat detection while explicitly engineering for the memory, latency, and labelling constraints inherent to a mobile platform.</w:t>
      </w:r>
    </w:p>
    <w:p>
      <w:pPr>
        <w:spacing w:before="120" w:after="40" w:line="240" w:lineRule="auto"/>
        <w:jc w:val="left"/>
      </w:pPr>
      <w:r>
        <w:rPr>
          <w:rFonts w:ascii="Times New Roman" w:hAnsi="Times New Roman"/>
          <w:b w:val="0"/>
          <w:i/>
          <w:sz w:val="20"/>
        </w:rPr>
        <w:t>B. Lightweight On-Device Phishing and Smishing Detection</w:t>
      </w:r>
    </w:p>
    <w:p>
      <w:pPr>
        <w:spacing w:before="0" w:after="60" w:line="240" w:lineRule="auto"/>
        <w:ind w:firstLine="288"/>
        <w:jc w:val="both"/>
      </w:pPr>
      <w:r>
        <w:rPr>
          <w:rFonts w:ascii="Times New Roman" w:hAnsi="Times New Roman"/>
          <w:b w:val="0"/>
          <w:i w:val="0"/>
          <w:sz w:val="20"/>
        </w:rPr>
        <w:t>Beyond behavioural anomaly detection, SentriZK must screen incoming message text for phishing and smishing content. Smishing attacks on mobile and Android devices are rising sharply, and traditional spam-detection techniques struggle to distinguish legitimate from malicious messages because of the contextual, deceptive nature of these attacks [7]. A compact transformer-based approach addresses this by extracting contextual embeddings with TinyBERT, a lightweight BERT variant, and tuning the deep-learning model's hyperparameters with the Aquila Optimization metaheuristic, which balances exploration and exploitation to minimise validation loss [7]. Trained on the Kaggle SMS Spam Collection dataset of 5,574 English messages and deliberately limited to five epochs to remain lightweight for Android, the Aquila-tuned TinyBERT model achieved 96.81% accuracy, 96.76% precision, 96.81% recall, and a 96.71% F1-score, outperforming GRU, LSTM, and RNN baselines (around 85.98%) and performing on par with SVM (96.61%) [7]. The principal weakness is a modest spam recall of 82% in the per-class classification report, meaning a notable fraction of smishing messages can be missed, and no on-device latency, memory, or inference-time measurements are reported despite the lightweight Android framing [7]. This study nevertheless validates SentriZK's plan to run message-threat classification locally with a compact transformer to avoid cloud latency and privacy leakage.</w:t>
      </w:r>
    </w:p>
    <w:p>
      <w:pPr>
        <w:spacing w:before="0" w:after="60" w:line="240" w:lineRule="auto"/>
        <w:ind w:firstLine="288"/>
        <w:jc w:val="both"/>
      </w:pPr>
      <w:r>
        <w:rPr>
          <w:rFonts w:ascii="Times New Roman" w:hAnsi="Times New Roman"/>
          <w:b w:val="0"/>
          <w:i w:val="0"/>
          <w:sz w:val="20"/>
        </w:rPr>
        <w:t>Complementing the smishing case, the PHILDER framework targets the gap in deep-learning phishing detection that is evaluated by computational-efficiency metrics rather than accuracy alone, motivated by the observation that accurate DL phishing detectors are typically too heavy in compute, memory, latency, and energy for resource-constrained devices such as mobile phones and embedded systems [8]. PHILDER compares five lightweight BERT variants (ALBERT, DistilBERT, MobileBERT, MiniLM, and TinyBERT) on a corpus of 3,002 emails (501 PhishTank phishing plus 2,501 SpamAssassin legitimate messages) under original, undersampling, and SMOTE oversampling settings, and introduces three composite efficiency metrics: training efficiency (TES), inference efficiency (IES), and real-time detection efficiency (RTDE) [8]. The selected configuration, TinyBERT with undersampling, offered the best overall balance of accuracy and computational cost, achieving 99.27% accuracy, the highest TES and IES among all models, the fastest testing time (2.57 s), and a per-sample detection latency of 12.9811 ms, while heavier variants such as ALBERT, DistilBERT, and MobileBERT reached near-best accuracy only at much higher computational cost [8]. SMOTE oversampling, although yielding the best raw accuracy, was discarded for its highest training and per-sample cost and overfitting risk [8]. The dataset is small and English-only and the models were not actually deployed or benchmarked on real edge hardware, with no quantisation or TensorFlow Lite conversion measured [8]. Even so, the TES/IES/RTDE framing and class-balancing study furnish concrete design guidance for SentriZK's mobile-first, privacy-preserving detection, confirming that compressed transformers can meet strict latency and battery budgets while detecting social-engineering text.</w:t>
      </w:r>
    </w:p>
    <w:p>
      <w:pPr>
        <w:spacing w:before="120" w:after="40" w:line="240" w:lineRule="auto"/>
        <w:jc w:val="left"/>
      </w:pPr>
      <w:r>
        <w:rPr>
          <w:rFonts w:ascii="Times New Roman" w:hAnsi="Times New Roman"/>
          <w:b w:val="0"/>
          <w:i/>
          <w:sz w:val="20"/>
        </w:rPr>
        <w:t>C. Hybrid Machine Learning for URL Phishing</w:t>
      </w:r>
    </w:p>
    <w:p>
      <w:pPr>
        <w:spacing w:before="0" w:after="60" w:line="240" w:lineRule="auto"/>
        <w:ind w:firstLine="288"/>
        <w:jc w:val="both"/>
      </w:pPr>
      <w:r>
        <w:rPr>
          <w:rFonts w:ascii="Times New Roman" w:hAnsi="Times New Roman"/>
          <w:b w:val="0"/>
          <w:i w:val="0"/>
          <w:sz w:val="20"/>
        </w:rPr>
        <w:t>Because phishing attempts within enterprise messages frequently arrive as embedded links, SentriZK also benefits from fast, content-independent URL screening. A hybrid machine-learning approach trained on a Kaggle benchmark of 11,054 records with 32 URL features from more than 11,000 websites addresses the limitations of list-based and small-dataset detectors, which cannot identify novel or zero-day phishing URLs [9]. The proposed LSD ensemble combines Logistic/Linear Regression, an SVC, and a Decision Tree via voting, augmented with canopy-based feature selection, k-fold cross-validation, and grid-search hyperparameter optimisation [9]. The proposed approach reported the highest accuracy of 98.12%, with 97.31% precision, 96.33% recall, 96.55% specificity, and a 95.89% F1-score, alongside the best efficiency among compared models (lowest execution time, highest throughput, and lowest latency) [9]. Among standalone models, Random Forest performed best (96.77% accuracy, 97.12% F1-score), while the plain hybrid voting model reached 95.23% accuracy with soft voting [9]. The authors note an internal inconsistency in which the 98.12% headline figure is conflated with Random Forest, leaving the true best model somewhat ambiguous, and no deep-learning baselines or on-device deployment are evaluated [9]. Nonetheless, the result that URL-feature-only classifiers can reach high accuracy with low latency and without third-party dependencies aligns with SentriZK's need for fast, privacy-preserving on-device URL screening within encrypted messages, offering a candidate lightweight baseline for a compact mobile phishing detector.</w:t>
      </w:r>
    </w:p>
    <w:p>
      <w:pPr>
        <w:spacing w:before="0" w:after="60" w:line="240" w:lineRule="auto"/>
        <w:ind w:firstLine="288"/>
        <w:jc w:val="both"/>
      </w:pPr>
      <w:r>
        <w:rPr>
          <w:rFonts w:ascii="Times New Roman" w:hAnsi="Times New Roman"/>
          <w:b w:val="0"/>
          <w:i w:val="0"/>
          <w:sz w:val="20"/>
        </w:rPr>
        <w:t>Taken together, the Domain 3 evidence establishes that the building blocks of SentriZK's on-device detection pillar are individually feasible: deep-learning sequence models handle high-dimensional, temporal anomaly data [6]; compact transformers achieve high-accuracy smishing and phishing detection under tight resource budgets [7], [8]; and lightweight ensembles deliver low-latency URL screening [9]. The recurring limitations across these works, namely the absence of measured on-device latency, memory, and model-size figures and the reliance on small or single-language datasets, define the engineering agenda SentriZK must address to translate these laboratory results into a deployed, privacy-preserving, mobile-first system.</w:t>
      </w:r>
    </w:p>
    <w:p>
      <w:pPr>
        <w:sectPr>
          <w:type w:val="continuous"/>
          <w:pgSz w:w="11909" w:h="16834"/>
          <w:pgMar w:top="1008" w:right="864" w:bottom="1008" w:left="864" w:header="720" w:footer="720" w:gutter="0"/>
          <w:cols w:space="425" w:num="2" w:equalWidth="1"/>
          <w:docGrid w:linePitch="360"/>
        </w:sectPr>
      </w:pPr>
    </w:p>
    <w:p>
      <w:pPr>
        <w:spacing w:before="120" w:after="60" w:line="240" w:lineRule="auto"/>
        <w:jc w:val="center"/>
      </w:pPr>
      <w:r>
        <w:rPr>
          <w:rFonts w:ascii="Times New Roman" w:hAnsi="Times New Roman"/>
          <w:b/>
          <w:i w:val="0"/>
          <w:sz w:val="16"/>
        </w:rPr>
        <w:t>TABLE III. SUMMARY OF ON-DEVICE AI DETECTION STUDIES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16"/>
              </w:rPr>
              <w:t>Study</w:t>
            </w:r>
          </w:p>
        </w:tc>
        <w:tc>
          <w:tcPr>
            <w:tcW w:type="dxa" w:w="1728"/>
          </w:tcPr>
          <w:p>
            <w:pPr>
              <w:jc w:val="center"/>
            </w:pPr>
            <w:r/>
            <w:r>
              <w:rPr>
                <w:rFonts w:ascii="Times New Roman" w:hAnsi="Times New Roman"/>
                <w:b/>
                <w:sz w:val="16"/>
              </w:rPr>
              <w:t>Task</w:t>
            </w:r>
          </w:p>
        </w:tc>
        <w:tc>
          <w:tcPr>
            <w:tcW w:type="dxa" w:w="1728"/>
          </w:tcPr>
          <w:p>
            <w:pPr>
              <w:jc w:val="center"/>
            </w:pPr>
            <w:r/>
            <w:r>
              <w:rPr>
                <w:rFonts w:ascii="Times New Roman" w:hAnsi="Times New Roman"/>
                <w:b/>
                <w:sz w:val="16"/>
              </w:rPr>
              <w:t>Model/Method</w:t>
            </w:r>
          </w:p>
        </w:tc>
        <w:tc>
          <w:tcPr>
            <w:tcW w:type="dxa" w:w="1728"/>
          </w:tcPr>
          <w:p>
            <w:pPr>
              <w:jc w:val="center"/>
            </w:pPr>
            <w:r/>
            <w:r>
              <w:rPr>
                <w:rFonts w:ascii="Times New Roman" w:hAnsi="Times New Roman"/>
                <w:b/>
                <w:sz w:val="16"/>
              </w:rPr>
              <w:t>Reported Performance</w:t>
            </w:r>
          </w:p>
        </w:tc>
        <w:tc>
          <w:tcPr>
            <w:tcW w:type="dxa" w:w="1728"/>
          </w:tcPr>
          <w:p>
            <w:pPr>
              <w:jc w:val="center"/>
            </w:pPr>
            <w:r/>
            <w:r>
              <w:rPr>
                <w:rFonts w:ascii="Times New Roman" w:hAnsi="Times New Roman"/>
                <w:b/>
                <w:sz w:val="16"/>
              </w:rPr>
              <w:t>Limitation</w:t>
            </w:r>
          </w:p>
        </w:tc>
      </w:tr>
      <w:tr>
        <w:tc>
          <w:tcPr>
            <w:tcW w:type="dxa" w:w="1728"/>
          </w:tcPr>
          <w:p>
            <w:pPr>
              <w:jc w:val="left"/>
            </w:pPr>
            <w:r/>
            <w:r>
              <w:rPr>
                <w:rFonts w:ascii="Times New Roman" w:hAnsi="Times New Roman"/>
                <w:sz w:val="16"/>
              </w:rPr>
              <w:t>[6]</w:t>
            </w:r>
          </w:p>
        </w:tc>
        <w:tc>
          <w:tcPr>
            <w:tcW w:type="dxa" w:w="1728"/>
          </w:tcPr>
          <w:p>
            <w:pPr>
              <w:jc w:val="left"/>
            </w:pPr>
            <w:r/>
            <w:r>
              <w:rPr>
                <w:rFonts w:ascii="Times New Roman" w:hAnsi="Times New Roman"/>
                <w:sz w:val="16"/>
              </w:rPr>
              <w:t>Anomaly detection (systematic review, 2019-2021)</w:t>
            </w:r>
          </w:p>
        </w:tc>
        <w:tc>
          <w:tcPr>
            <w:tcW w:type="dxa" w:w="1728"/>
          </w:tcPr>
          <w:p>
            <w:pPr>
              <w:jc w:val="left"/>
            </w:pPr>
            <w:r/>
            <w:r>
              <w:rPr>
                <w:rFonts w:ascii="Times New Roman" w:hAnsi="Times New Roman"/>
                <w:sz w:val="16"/>
              </w:rPr>
              <w:t>Survey of ML (k-NN, SVM, decision tree, random forest) and DL (CNN, LSTM/autoencoder, GAN, attention) methods</w:t>
            </w:r>
          </w:p>
        </w:tc>
        <w:tc>
          <w:tcPr>
            <w:tcW w:type="dxa" w:w="1728"/>
          </w:tcPr>
          <w:p>
            <w:pPr>
              <w:jc w:val="left"/>
            </w:pPr>
            <w:r/>
            <w:r>
              <w:rPr>
                <w:rFonts w:ascii="Times New Roman" w:hAnsi="Times New Roman"/>
                <w:sz w:val="16"/>
              </w:rPr>
              <w:t>Cited works' accuracies, e.g., NN 0.990 (DS2OS); LSTM encoder-decoder 0.978; AD-IoT 99.34% (UNSW-NB15)</w:t>
            </w:r>
          </w:p>
        </w:tc>
        <w:tc>
          <w:tcPr>
            <w:tcW w:type="dxa" w:w="1728"/>
          </w:tcPr>
          <w:p>
            <w:pPr>
              <w:jc w:val="left"/>
            </w:pPr>
            <w:r/>
            <w:r>
              <w:rPr>
                <w:rFonts w:ascii="Times New Roman" w:hAnsi="Times New Roman"/>
                <w:sz w:val="16"/>
              </w:rPr>
              <w:t>Review only; metrics from heterogeneous datasets are not directly comparable; little depth on privacy-preserving or on-device detection</w:t>
            </w:r>
          </w:p>
        </w:tc>
      </w:tr>
      <w:tr>
        <w:tc>
          <w:tcPr>
            <w:tcW w:type="dxa" w:w="1728"/>
          </w:tcPr>
          <w:p>
            <w:pPr>
              <w:jc w:val="left"/>
            </w:pPr>
            <w:r/>
            <w:r>
              <w:rPr>
                <w:rFonts w:ascii="Times New Roman" w:hAnsi="Times New Roman"/>
                <w:sz w:val="16"/>
              </w:rPr>
              <w:t>[7]</w:t>
            </w:r>
          </w:p>
        </w:tc>
        <w:tc>
          <w:tcPr>
            <w:tcW w:type="dxa" w:w="1728"/>
          </w:tcPr>
          <w:p>
            <w:pPr>
              <w:jc w:val="left"/>
            </w:pPr>
            <w:r/>
            <w:r>
              <w:rPr>
                <w:rFonts w:ascii="Times New Roman" w:hAnsi="Times New Roman"/>
                <w:sz w:val="16"/>
              </w:rPr>
              <w:t>Smishing (SMS phishing) detection on Android</w:t>
            </w:r>
          </w:p>
        </w:tc>
        <w:tc>
          <w:tcPr>
            <w:tcW w:type="dxa" w:w="1728"/>
          </w:tcPr>
          <w:p>
            <w:pPr>
              <w:jc w:val="left"/>
            </w:pPr>
            <w:r/>
            <w:r>
              <w:rPr>
                <w:rFonts w:ascii="Times New Roman" w:hAnsi="Times New Roman"/>
                <w:sz w:val="16"/>
              </w:rPr>
              <w:t>TinyBERT contextual embeddings + Aquila Optimization hyperparameter tuning (5 epochs)</w:t>
            </w:r>
          </w:p>
        </w:tc>
        <w:tc>
          <w:tcPr>
            <w:tcW w:type="dxa" w:w="1728"/>
          </w:tcPr>
          <w:p>
            <w:pPr>
              <w:jc w:val="left"/>
            </w:pPr>
            <w:r/>
            <w:r>
              <w:rPr>
                <w:rFonts w:ascii="Times New Roman" w:hAnsi="Times New Roman"/>
                <w:sz w:val="16"/>
              </w:rPr>
              <w:t>Accuracy 96.81%, precision 96.76%, recall 96.81%, F1 96.71% (Kaggle SMS Spam Collection, 5,574 messages)</w:t>
            </w:r>
          </w:p>
        </w:tc>
        <w:tc>
          <w:tcPr>
            <w:tcW w:type="dxa" w:w="1728"/>
          </w:tcPr>
          <w:p>
            <w:pPr>
              <w:jc w:val="left"/>
            </w:pPr>
            <w:r/>
            <w:r>
              <w:rPr>
                <w:rFonts w:ascii="Times New Roman" w:hAnsi="Times New Roman"/>
                <w:sz w:val="16"/>
              </w:rPr>
              <w:t>Spam recall modest (82%); no on-device latency, memory, or model-size measurements; single English dataset</w:t>
            </w:r>
          </w:p>
        </w:tc>
      </w:tr>
      <w:tr>
        <w:tc>
          <w:tcPr>
            <w:tcW w:type="dxa" w:w="1728"/>
          </w:tcPr>
          <w:p>
            <w:pPr>
              <w:jc w:val="left"/>
            </w:pPr>
            <w:r/>
            <w:r>
              <w:rPr>
                <w:rFonts w:ascii="Times New Roman" w:hAnsi="Times New Roman"/>
                <w:sz w:val="16"/>
              </w:rPr>
              <w:t>[8]</w:t>
            </w:r>
          </w:p>
        </w:tc>
        <w:tc>
          <w:tcPr>
            <w:tcW w:type="dxa" w:w="1728"/>
          </w:tcPr>
          <w:p>
            <w:pPr>
              <w:jc w:val="left"/>
            </w:pPr>
            <w:r/>
            <w:r>
              <w:rPr>
                <w:rFonts w:ascii="Times New Roman" w:hAnsi="Times New Roman"/>
                <w:sz w:val="16"/>
              </w:rPr>
              <w:t>Email phishing detection for resource-limited devices</w:t>
            </w:r>
          </w:p>
        </w:tc>
        <w:tc>
          <w:tcPr>
            <w:tcW w:type="dxa" w:w="1728"/>
          </w:tcPr>
          <w:p>
            <w:pPr>
              <w:jc w:val="left"/>
            </w:pPr>
            <w:r/>
            <w:r>
              <w:rPr>
                <w:rFonts w:ascii="Times New Roman" w:hAnsi="Times New Roman"/>
                <w:sz w:val="16"/>
              </w:rPr>
              <w:t>PHILDER: TinyBERT with undersampling (compared against ALBERT, DistilBERT, MobileBERT, MiniLM); TES/IES/RTDE efficiency metrics</w:t>
            </w:r>
          </w:p>
        </w:tc>
        <w:tc>
          <w:tcPr>
            <w:tcW w:type="dxa" w:w="1728"/>
          </w:tcPr>
          <w:p>
            <w:pPr>
              <w:jc w:val="left"/>
            </w:pPr>
            <w:r/>
            <w:r>
              <w:rPr>
                <w:rFonts w:ascii="Times New Roman" w:hAnsi="Times New Roman"/>
                <w:sz w:val="16"/>
              </w:rPr>
              <w:t>Accuracy 99.27%; highest TES and IES; testing time 2.57 s; per-sample latency 12.9811 ms (3,002 emails)</w:t>
            </w:r>
          </w:p>
        </w:tc>
        <w:tc>
          <w:tcPr>
            <w:tcW w:type="dxa" w:w="1728"/>
          </w:tcPr>
          <w:p>
            <w:pPr>
              <w:jc w:val="left"/>
            </w:pPr>
            <w:r/>
            <w:r>
              <w:rPr>
                <w:rFonts w:ascii="Times New Roman" w:hAnsi="Times New Roman"/>
                <w:sz w:val="16"/>
              </w:rPr>
              <w:t>Small English-only dataset; models not deployed on real edge hardware; no quantisation/TensorFlow Lite or memory-footprint measurement</w:t>
            </w:r>
          </w:p>
        </w:tc>
      </w:tr>
      <w:tr>
        <w:tc>
          <w:tcPr>
            <w:tcW w:type="dxa" w:w="1728"/>
          </w:tcPr>
          <w:p>
            <w:pPr>
              <w:jc w:val="left"/>
            </w:pPr>
            <w:r/>
            <w:r>
              <w:rPr>
                <w:rFonts w:ascii="Times New Roman" w:hAnsi="Times New Roman"/>
                <w:sz w:val="16"/>
              </w:rPr>
              <w:t>[9]</w:t>
            </w:r>
          </w:p>
        </w:tc>
        <w:tc>
          <w:tcPr>
            <w:tcW w:type="dxa" w:w="1728"/>
          </w:tcPr>
          <w:p>
            <w:pPr>
              <w:jc w:val="left"/>
            </w:pPr>
            <w:r/>
            <w:r>
              <w:rPr>
                <w:rFonts w:ascii="Times New Roman" w:hAnsi="Times New Roman"/>
                <w:sz w:val="16"/>
              </w:rPr>
              <w:t>URL-based phishing detection</w:t>
            </w:r>
          </w:p>
        </w:tc>
        <w:tc>
          <w:tcPr>
            <w:tcW w:type="dxa" w:w="1728"/>
          </w:tcPr>
          <w:p>
            <w:pPr>
              <w:jc w:val="left"/>
            </w:pPr>
            <w:r/>
            <w:r>
              <w:rPr>
                <w:rFonts w:ascii="Times New Roman" w:hAnsi="Times New Roman"/>
                <w:sz w:val="16"/>
              </w:rPr>
              <w:t>Hybrid LSD ensemble (Logistic/Linear Regression + SVC + Decision Tree) with canopy feature selection, cross-validation, grid search</w:t>
            </w:r>
          </w:p>
        </w:tc>
        <w:tc>
          <w:tcPr>
            <w:tcW w:type="dxa" w:w="1728"/>
          </w:tcPr>
          <w:p>
            <w:pPr>
              <w:jc w:val="left"/>
            </w:pPr>
            <w:r/>
            <w:r>
              <w:rPr>
                <w:rFonts w:ascii="Times New Roman" w:hAnsi="Times New Roman"/>
                <w:sz w:val="16"/>
              </w:rPr>
              <w:t>Proposed approach: accuracy 98.12%, precision 97.31%, recall 96.33%, specificity 96.55%, F1 95.89% (11,054 URLs, 32 features)</w:t>
            </w:r>
          </w:p>
        </w:tc>
        <w:tc>
          <w:tcPr>
            <w:tcW w:type="dxa" w:w="1728"/>
          </w:tcPr>
          <w:p>
            <w:pPr>
              <w:jc w:val="left"/>
            </w:pPr>
            <w:r/>
            <w:r>
              <w:rPr>
                <w:rFonts w:ascii="Times New Roman" w:hAnsi="Times New Roman"/>
                <w:sz w:val="16"/>
              </w:rPr>
              <w:t>Internal inconsistency (98.12% conflated with Random Forest); no DL baselines; no on-device/mobile deployment evaluation</w:t>
            </w:r>
          </w:p>
        </w:tc>
      </w:tr>
    </w:tbl>
    <w:p>
      <w:pPr>
        <w:sectPr>
          <w:type w:val="continuous"/>
          <w:pgSz w:w="11909" w:h="16834"/>
          <w:pgMar w:top="1008" w:right="864" w:bottom="1008" w:left="864" w:header="720" w:footer="720" w:gutter="0"/>
          <w:cols w:space="425" w:num="1" w:equalWidth="1"/>
          <w:docGrid w:linePitch="360"/>
        </w:sectPr>
      </w:pPr>
    </w:p>
    <w:p>
      <w:pPr>
        <w:spacing w:before="200" w:after="80" w:line="240" w:lineRule="auto"/>
        <w:jc w:val="center"/>
      </w:pPr>
      <w:r>
        <w:rPr>
          <w:rFonts w:ascii="Times New Roman" w:hAnsi="Times New Roman"/>
          <w:b/>
          <w:i w:val="0"/>
          <w:sz w:val="20"/>
        </w:rPr>
        <w:t>VI. SYNTHESIS AND RESEARCH GAPS</w:t>
      </w:r>
    </w:p>
    <w:p>
      <w:pPr>
        <w:spacing w:before="0" w:after="60" w:line="240" w:lineRule="auto"/>
        <w:ind w:firstLine="288"/>
        <w:jc w:val="both"/>
      </w:pPr>
      <w:r>
        <w:rPr>
          <w:rFonts w:ascii="Times New Roman" w:hAnsi="Times New Roman"/>
          <w:b w:val="0"/>
          <w:i w:val="0"/>
          <w:sz w:val="20"/>
        </w:rPr>
        <w:t>The preceding three domains each mature a single dimension of secure enterprise messaging in isolation: confidential transport with privacy-preserving authentication (Domain 1), zero-knowledge authentication theory and deployment (Domain 2), and on-device intelligent threat detection (Domain 3). Read together, however, the twelve sources expose a set of cross-domain gaps that no individual study resolves, and a corresponding integration opportunity that defines the SentriZK contribution. This section does not restate the per-domain findings but instead reasons across them to articulate four gaps, summarised in Table IV, and to position SentriZK's unified architecture as the response.</w:t>
      </w:r>
    </w:p>
    <w:p>
      <w:pPr>
        <w:spacing w:before="120" w:after="40" w:line="240" w:lineRule="auto"/>
        <w:jc w:val="left"/>
      </w:pPr>
      <w:r>
        <w:rPr>
          <w:rFonts w:ascii="Times New Roman" w:hAnsi="Times New Roman"/>
          <w:b w:val="0"/>
          <w:i/>
          <w:sz w:val="20"/>
        </w:rPr>
        <w:t>A. Confidential Transport Without Trustworthy Authentication</w:t>
      </w:r>
    </w:p>
    <w:p>
      <w:pPr>
        <w:spacing w:before="0" w:after="60" w:line="240" w:lineRule="auto"/>
        <w:ind w:firstLine="288"/>
        <w:jc w:val="both"/>
      </w:pPr>
      <w:r>
        <w:rPr>
          <w:rFonts w:ascii="Times New Roman" w:hAnsi="Times New Roman"/>
          <w:b w:val="0"/>
          <w:i w:val="0"/>
          <w:sz w:val="20"/>
        </w:rPr>
        <w:t>The first cross-domain gap is that strong E2EE is necessary but not sufficient for trust establishment. The implemented Diffie-Hellman/ECDH plus AES-256 system of Perkasa et al. demonstrates that message confidentiality against a compromised server is a solved engineering problem, yet the same work concedes that its ECDH exchange has no authentication mechanism and that MitM resistance therefore depends on out-of-band trust [3]. The systematisation by Alatawi and Saxena generalises this single observation into a structural finding across nineteen popular applications: every one of them operates only in opportunistic E2EE mode and relies on optional manual fingerprint-verification ceremonies that routinely fail because of human error [2]. The conceptual remedy is supplied by Domain 2: zero-knowledge proofs allow a party to prove possession of a credential without disclosing or transmitting it, removing the disclosure-based weakness that the ceremonies were intended, and fail, to compensate for [10]. The gap is thus the absence of any reviewed messaging system that couples vetted E2EE primitives with an automated, non-interactive authentication mechanism; SentriZK closes it by retaining Diffie-Hellman and AES-256 transport [3] while replacing the fragile ceremony [2] with non-interactive zk-SNARK authentication [10].</w:t>
      </w:r>
    </w:p>
    <w:p>
      <w:pPr>
        <w:spacing w:before="120" w:after="40" w:line="240" w:lineRule="auto"/>
        <w:jc w:val="left"/>
      </w:pPr>
      <w:r>
        <w:rPr>
          <w:rFonts w:ascii="Times New Roman" w:hAnsi="Times New Roman"/>
          <w:b w:val="0"/>
          <w:i/>
          <w:sz w:val="20"/>
        </w:rPr>
        <w:t>B. Accurate Detection Versus On-Device Feasibility</w:t>
      </w:r>
    </w:p>
    <w:p>
      <w:pPr>
        <w:spacing w:before="0" w:after="60" w:line="240" w:lineRule="auto"/>
        <w:ind w:firstLine="288"/>
        <w:jc w:val="both"/>
      </w:pPr>
      <w:r>
        <w:rPr>
          <w:rFonts w:ascii="Times New Roman" w:hAnsi="Times New Roman"/>
          <w:b w:val="0"/>
          <w:i w:val="0"/>
          <w:sz w:val="20"/>
        </w:rPr>
        <w:t>The second gap concerns a recurring mismatch between detection accuracy and deployment feasibility. Deep sequence models such as BiLSTM are repeatedly shown to be the most effective family for insider-threat and anomaly detection over behavioural logs [5], [4], [6], yet the same literature documents that these models are heavy, that LSTM in particular demands significant time and bandwidth on mobile hardware [6], and that the leading insider-threat proposal reports no latency or resource-cost analysis at all, leaving on-device feasibility entirely unaddressed [5]. Where efficiency is treated explicitly, it is through composite metrics or compressed transformers evaluated only on server timings rather than real edge hardware, with no quantisation or TensorFlow Lite conversion measured [8]. The common thread is that accuracy has been demonstrated in laboratory or cloud settings, but the model-size, memory, and inference-latency budgets of a smartphone remain an open engineering agenda. SentriZK responds by selecting BiLSTM-style detection [5], [4] specifically engineered for lightweight on-device inference via TensorFlow Lite, treating the efficiency framing of [8] and the resource constraints catalogued in [6] as first-class design requirements rather than afterthoughts.</w:t>
      </w:r>
    </w:p>
    <w:p>
      <w:pPr>
        <w:spacing w:before="120" w:after="40" w:line="240" w:lineRule="auto"/>
        <w:jc w:val="left"/>
      </w:pPr>
      <w:r>
        <w:rPr>
          <w:rFonts w:ascii="Times New Roman" w:hAnsi="Times New Roman"/>
          <w:b w:val="0"/>
          <w:i/>
          <w:sz w:val="20"/>
        </w:rPr>
        <w:t>C. The Tension Between Strong Detection and User Privacy</w:t>
      </w:r>
    </w:p>
    <w:p>
      <w:pPr>
        <w:spacing w:before="0" w:after="60" w:line="240" w:lineRule="auto"/>
        <w:ind w:firstLine="288"/>
        <w:jc w:val="both"/>
      </w:pPr>
      <w:r>
        <w:rPr>
          <w:rFonts w:ascii="Times New Roman" w:hAnsi="Times New Roman"/>
          <w:b w:val="0"/>
          <w:i w:val="0"/>
          <w:sz w:val="20"/>
        </w:rPr>
        <w:t>The third gap is the latent tension between intelligent threat detection and the very privacy that E2EE and zero-knowledge authentication are meant to protect. Effective behavioural and content-based detection conventionally requires inspecting user activity and message text, which conflicts with confidentiality; Domain 3 repeatedly frames cloud-based detection as a source of latency and privacy leakage [7], and Domain 1's threat review notes that encrypted-channel exfiltration itself defeats deep packet inspection, forcing detection onto privacy-preserving, metadata- and behaviour-based methods [4]. The resolution that emerges across domains is twofold. First, performing detection locally on the device, as the smishing and phishing studies advocate, keeps both message content and behavioural signals on the user's hardware and avoids cloud disclosure [7]. Second, zero-knowledge authentication contributes a complementary privacy property at the trust layer: it provides anonymity and MitM resistance while leaking no secret to the verifier [11], and it can deliver password-less, identity-hiding authentication on a real cryptographic stack while still preserving selective disclosure and traceability for accountability [12]. No reviewed system combines on-device detection with zero-knowledge authentication to reconcile this tension; SentriZK's pairing of local TensorFlow Lite inference [7] with NIZK/zk-SNARK authentication [11], [12] is precisely that combination.</w:t>
      </w:r>
    </w:p>
    <w:p>
      <w:pPr>
        <w:spacing w:before="120" w:after="40" w:line="240" w:lineRule="auto"/>
        <w:jc w:val="left"/>
      </w:pPr>
      <w:r>
        <w:rPr>
          <w:rFonts w:ascii="Times New Roman" w:hAnsi="Times New Roman"/>
          <w:b w:val="0"/>
          <w:i/>
          <w:sz w:val="20"/>
        </w:rPr>
        <w:t>D. Architectural Fragmentation Across the Three Pillars</w:t>
      </w:r>
    </w:p>
    <w:p>
      <w:pPr>
        <w:spacing w:before="0" w:after="60" w:line="240" w:lineRule="auto"/>
        <w:ind w:firstLine="288"/>
        <w:jc w:val="both"/>
      </w:pPr>
      <w:r>
        <w:rPr>
          <w:rFonts w:ascii="Times New Roman" w:hAnsi="Times New Roman"/>
          <w:b w:val="0"/>
          <w:i w:val="0"/>
          <w:sz w:val="20"/>
        </w:rPr>
        <w:t>The fourth and overarching gap is fragmentation. The reviewed corpus treats encrypted transport, authentication, and threat detection as separate research programmes: implemented E2EE systems omit on-device detection and authenticated key exchange [3]; zk-SNARK identity systems address authentication but assume a blockchain settlement layer whose 192 MB proving keys, multi-second proving times, and high gas costs are explicitly infeasible under typical mobile memory limits [12]; and the detection literature optimises classifiers without integrating them into a confidential, authenticated messaging fabric [6], [7], [8], [9]. Threat-modelling work for enterprise messaging confirms that these concerns belong to one attack surface and even calls for fusing AI-driven anomaly detection with the broader security design, yet stops at a conceptual mitigation taxonomy rather than a built system [1]. No single reviewed system unifies E2EE transport, privacy-preserving authentication, and on-device detection. This unmet integration is the SentriZK gap: the proposed architecture consolidates the otherwise scattered mitigations into one mobile-first platform, while explicitly heeding the cost warnings of [12] by favouring lighter proving and zk-SNARK-friendly circuits and avoiding on-chain settlement for routine authentication.</w:t>
      </w:r>
    </w:p>
    <w:p>
      <w:pPr>
        <w:spacing w:before="0" w:after="60" w:line="240" w:lineRule="auto"/>
        <w:ind w:firstLine="288"/>
        <w:jc w:val="both"/>
      </w:pPr>
      <w:r>
        <w:rPr>
          <w:rFonts w:ascii="Times New Roman" w:hAnsi="Times New Roman"/>
          <w:b w:val="0"/>
          <w:i w:val="0"/>
          <w:sz w:val="20"/>
        </w:rPr>
        <w:t>In summary, the literature validates each pillar individually but leaves their integration, and the privacy, feasibility, and trust tensions that arise only at their intersection, unaddressed. SentriZK is positioned at this intersection: it is a design-stage proposal to unify confidential transport, non-interactive zero-knowledge authentication, and lightweight on-device threat detection in a single privacy-preserving Android messaging platform. As the work is at the design and review stage, no performance claims are made; the contribution of this review is to motivate the unified architecture from the cross-domain gaps identified above and to set the engineering agenda, on-device model efficiency, lightweight proving, and the careful balance of detection against privacy, that subsequent implementation and evaluation must resolve.</w:t>
      </w:r>
    </w:p>
    <w:p>
      <w:pPr>
        <w:sectPr>
          <w:type w:val="continuous"/>
          <w:pgSz w:w="11909" w:h="16834"/>
          <w:pgMar w:top="1008" w:right="864" w:bottom="1008" w:left="864" w:header="720" w:footer="720" w:gutter="0"/>
          <w:cols w:space="425" w:num="2" w:equalWidth="1"/>
          <w:docGrid w:linePitch="360"/>
        </w:sectPr>
      </w:pPr>
    </w:p>
    <w:p>
      <w:pPr>
        <w:spacing w:before="120" w:after="60" w:line="240" w:lineRule="auto"/>
        <w:jc w:val="center"/>
      </w:pPr>
      <w:r>
        <w:rPr>
          <w:rFonts w:ascii="Times New Roman" w:hAnsi="Times New Roman"/>
          <w:b/>
          <w:i w:val="0"/>
          <w:sz w:val="16"/>
        </w:rPr>
        <w:t>TABLE IV. RESEARCH GAPS AND SentriZK RESPONSE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16"/>
              </w:rPr>
              <w:t>Research Gap</w:t>
            </w:r>
          </w:p>
        </w:tc>
        <w:tc>
          <w:tcPr>
            <w:tcW w:type="dxa" w:w="2880"/>
          </w:tcPr>
          <w:p>
            <w:pPr>
              <w:jc w:val="center"/>
            </w:pPr>
            <w:r/>
            <w:r>
              <w:rPr>
                <w:rFonts w:ascii="Times New Roman" w:hAnsi="Times New Roman"/>
                <w:b/>
                <w:sz w:val="16"/>
              </w:rPr>
              <w:t>Evidence</w:t>
            </w:r>
          </w:p>
        </w:tc>
        <w:tc>
          <w:tcPr>
            <w:tcW w:type="dxa" w:w="2880"/>
          </w:tcPr>
          <w:p>
            <w:pPr>
              <w:jc w:val="center"/>
            </w:pPr>
            <w:r/>
            <w:r>
              <w:rPr>
                <w:rFonts w:ascii="Times New Roman" w:hAnsi="Times New Roman"/>
                <w:b/>
                <w:sz w:val="16"/>
              </w:rPr>
              <w:t>SentriZK Response</w:t>
            </w:r>
          </w:p>
        </w:tc>
      </w:tr>
      <w:tr>
        <w:tc>
          <w:tcPr>
            <w:tcW w:type="dxa" w:w="2880"/>
          </w:tcPr>
          <w:p>
            <w:pPr>
              <w:jc w:val="left"/>
            </w:pPr>
            <w:r/>
            <w:r>
              <w:rPr>
                <w:rFonts w:ascii="Times New Roman" w:hAnsi="Times New Roman"/>
                <w:sz w:val="16"/>
              </w:rPr>
              <w:t>E2EE secures message content but authentication is left to optional manual ceremonies that fail through human error, leaving an active-MitM trust gap.</w:t>
            </w:r>
          </w:p>
        </w:tc>
        <w:tc>
          <w:tcPr>
            <w:tcW w:type="dxa" w:w="2880"/>
          </w:tcPr>
          <w:p>
            <w:pPr>
              <w:jc w:val="left"/>
            </w:pPr>
            <w:r/>
            <w:r>
              <w:rPr>
                <w:rFonts w:ascii="Times New Roman" w:hAnsi="Times New Roman"/>
                <w:sz w:val="16"/>
              </w:rPr>
              <w:t>Implemented ECDH/AES-256 system has no authentication and depends on out-of-band trust [3]; all 19 surveyed apps use opportunistic E2EE with optional, error-prone ceremonies [2]; ZKP can prove a credential without transmitting it [10].</w:t>
            </w:r>
          </w:p>
        </w:tc>
        <w:tc>
          <w:tcPr>
            <w:tcW w:type="dxa" w:w="2880"/>
          </w:tcPr>
          <w:p>
            <w:pPr>
              <w:jc w:val="left"/>
            </w:pPr>
            <w:r/>
            <w:r>
              <w:rPr>
                <w:rFonts w:ascii="Times New Roman" w:hAnsi="Times New Roman"/>
                <w:sz w:val="16"/>
              </w:rPr>
              <w:t>Retains Diffie-Hellman and AES-256 transport while replacing the manual ceremony with non-interactive zk-SNARK (Groth16) authentication that removes human intervention from trust establishment.</w:t>
            </w:r>
          </w:p>
        </w:tc>
      </w:tr>
      <w:tr>
        <w:tc>
          <w:tcPr>
            <w:tcW w:type="dxa" w:w="2880"/>
          </w:tcPr>
          <w:p>
            <w:pPr>
              <w:jc w:val="left"/>
            </w:pPr>
            <w:r/>
            <w:r>
              <w:rPr>
                <w:rFonts w:ascii="Times New Roman" w:hAnsi="Times New Roman"/>
                <w:sz w:val="16"/>
              </w:rPr>
              <w:t>Deep-learning detection is accurate but heavy and cloud-bound, with on-device latency, memory, and model size largely unmeasured.</w:t>
            </w:r>
          </w:p>
        </w:tc>
        <w:tc>
          <w:tcPr>
            <w:tcW w:type="dxa" w:w="2880"/>
          </w:tcPr>
          <w:p>
            <w:pPr>
              <w:jc w:val="left"/>
            </w:pPr>
            <w:r/>
            <w:r>
              <w:rPr>
                <w:rFonts w:ascii="Times New Roman" w:hAnsi="Times New Roman"/>
                <w:sz w:val="16"/>
              </w:rPr>
              <w:t>BiLSTM/LSTM lead on detection accuracy [5], [4]; LSTM needs significant time and bandwidth on mobile [6]; leading insider model gives no latency/resource analysis [5]; efficiency studies use server timings without TensorFlow Lite/quantisation [8].</w:t>
            </w:r>
          </w:p>
        </w:tc>
        <w:tc>
          <w:tcPr>
            <w:tcW w:type="dxa" w:w="2880"/>
          </w:tcPr>
          <w:p>
            <w:pPr>
              <w:jc w:val="left"/>
            </w:pPr>
            <w:r/>
            <w:r>
              <w:rPr>
                <w:rFonts w:ascii="Times New Roman" w:hAnsi="Times New Roman"/>
                <w:sz w:val="16"/>
              </w:rPr>
              <w:t>Adapts BiLSTM-style detection for lightweight on-device inference via TensorFlow Lite, treating model-size, memory, and latency budgets as first-class design constraints.</w:t>
            </w:r>
          </w:p>
        </w:tc>
      </w:tr>
      <w:tr>
        <w:tc>
          <w:tcPr>
            <w:tcW w:type="dxa" w:w="2880"/>
          </w:tcPr>
          <w:p>
            <w:pPr>
              <w:jc w:val="left"/>
            </w:pPr>
            <w:r/>
            <w:r>
              <w:rPr>
                <w:rFonts w:ascii="Times New Roman" w:hAnsi="Times New Roman"/>
                <w:sz w:val="16"/>
              </w:rPr>
              <w:t>Strong content/behaviour detection conflicts with the privacy that encryption and authentication aim to protect.</w:t>
            </w:r>
          </w:p>
        </w:tc>
        <w:tc>
          <w:tcPr>
            <w:tcW w:type="dxa" w:w="2880"/>
          </w:tcPr>
          <w:p>
            <w:pPr>
              <w:jc w:val="left"/>
            </w:pPr>
            <w:r/>
            <w:r>
              <w:rPr>
                <w:rFonts w:ascii="Times New Roman" w:hAnsi="Times New Roman"/>
                <w:sz w:val="16"/>
              </w:rPr>
              <w:t>Cloud detection causes latency and privacy leakage [7]; encrypted-channel exfiltration defeats packet inspection [4]; ZKP leaks no secret to the verifier and gives anonymity [11]; zk-SNARK enables identity-hiding authentication with selective disclosure [12].</w:t>
            </w:r>
          </w:p>
        </w:tc>
        <w:tc>
          <w:tcPr>
            <w:tcW w:type="dxa" w:w="2880"/>
          </w:tcPr>
          <w:p>
            <w:pPr>
              <w:jc w:val="left"/>
            </w:pPr>
            <w:r/>
            <w:r>
              <w:rPr>
                <w:rFonts w:ascii="Times New Roman" w:hAnsi="Times New Roman"/>
                <w:sz w:val="16"/>
              </w:rPr>
              <w:t>Runs all detection locally so content and behaviour never leave the device, and uses NIZK/zk-SNARK authentication to add a privacy-preserving, secret-less trust layer with optional accountability.</w:t>
            </w:r>
          </w:p>
        </w:tc>
      </w:tr>
      <w:tr>
        <w:tc>
          <w:tcPr>
            <w:tcW w:type="dxa" w:w="2880"/>
          </w:tcPr>
          <w:p>
            <w:pPr>
              <w:jc w:val="left"/>
            </w:pPr>
            <w:r/>
            <w:r>
              <w:rPr>
                <w:rFonts w:ascii="Times New Roman" w:hAnsi="Times New Roman"/>
                <w:sz w:val="16"/>
              </w:rPr>
              <w:t>zk-SNARK identity systems assume a blockchain settlement layer with prohibitive proving and gas costs for mobile use.</w:t>
            </w:r>
          </w:p>
        </w:tc>
        <w:tc>
          <w:tcPr>
            <w:tcW w:type="dxa" w:w="2880"/>
          </w:tcPr>
          <w:p>
            <w:pPr>
              <w:jc w:val="left"/>
            </w:pPr>
            <w:r/>
            <w:r>
              <w:rPr>
                <w:rFonts w:ascii="Times New Roman" w:hAnsi="Times New Roman"/>
                <w:sz w:val="16"/>
              </w:rPr>
              <w:t>Pinocchio/Groth16 identity scheme has a 192 MB proving key, ~37 s proof generation, infeasibility under 4 GB RAM, and high on-chain gas (auth ~1.85M, full open ~5.77M) [12].</w:t>
            </w:r>
          </w:p>
        </w:tc>
        <w:tc>
          <w:tcPr>
            <w:tcW w:type="dxa" w:w="2880"/>
          </w:tcPr>
          <w:p>
            <w:pPr>
              <w:jc w:val="left"/>
            </w:pPr>
            <w:r/>
            <w:r>
              <w:rPr>
                <w:rFonts w:ascii="Times New Roman" w:hAnsi="Times New Roman"/>
                <w:sz w:val="16"/>
              </w:rPr>
              <w:t>Adopts the zk-SNARK (Groth16) family for authentication but favours lighter proving and zk-SNARK-friendly circuits and avoids on-chain settlement for routine login in its mobile-first design.</w:t>
            </w:r>
          </w:p>
        </w:tc>
      </w:tr>
      <w:tr>
        <w:tc>
          <w:tcPr>
            <w:tcW w:type="dxa" w:w="2880"/>
          </w:tcPr>
          <w:p>
            <w:pPr>
              <w:jc w:val="left"/>
            </w:pPr>
            <w:r/>
            <w:r>
              <w:rPr>
                <w:rFonts w:ascii="Times New Roman" w:hAnsi="Times New Roman"/>
                <w:sz w:val="16"/>
              </w:rPr>
              <w:t>No reviewed system unifies E2EE transport, privacy-preserving authentication, and on-device detection within one platform.</w:t>
            </w:r>
          </w:p>
        </w:tc>
        <w:tc>
          <w:tcPr>
            <w:tcW w:type="dxa" w:w="2880"/>
          </w:tcPr>
          <w:p>
            <w:pPr>
              <w:jc w:val="left"/>
            </w:pPr>
            <w:r/>
            <w:r>
              <w:rPr>
                <w:rFonts w:ascii="Times New Roman" w:hAnsi="Times New Roman"/>
                <w:sz w:val="16"/>
              </w:rPr>
              <w:t>E2EE systems lack on-device detection and authenticated key exchange [3]; detection studies are not embedded in a confidential, authenticated fabric [6], [8], [9]; threat modelling treats these as one attack surface but builds no integrated system [1].</w:t>
            </w:r>
          </w:p>
        </w:tc>
        <w:tc>
          <w:tcPr>
            <w:tcW w:type="dxa" w:w="2880"/>
          </w:tcPr>
          <w:p>
            <w:pPr>
              <w:jc w:val="left"/>
            </w:pPr>
            <w:r/>
            <w:r>
              <w:rPr>
                <w:rFonts w:ascii="Times New Roman" w:hAnsi="Times New Roman"/>
                <w:sz w:val="16"/>
              </w:rPr>
              <w:t>Consolidates confidential transport, non-interactive zero-knowledge authentication, and lightweight on-device threat detection into a single privacy-preserving, mobile-first Android messaging platform (design stage).</w:t>
            </w:r>
          </w:p>
        </w:tc>
      </w:tr>
    </w:tbl>
    <w:p>
      <w:pPr>
        <w:sectPr>
          <w:type w:val="continuous"/>
          <w:pgSz w:w="11909" w:h="16834"/>
          <w:pgMar w:top="1008" w:right="864" w:bottom="1008" w:left="864" w:header="720" w:footer="720" w:gutter="0"/>
          <w:cols w:space="425" w:num="1" w:equalWidth="1"/>
          <w:docGrid w:linePitch="360"/>
        </w:sectPr>
      </w:pPr>
    </w:p>
    <w:p>
      <w:pPr>
        <w:spacing w:before="200" w:after="80" w:line="240" w:lineRule="auto"/>
        <w:jc w:val="center"/>
      </w:pPr>
      <w:r>
        <w:rPr>
          <w:rFonts w:ascii="Times New Roman" w:hAnsi="Times New Roman"/>
          <w:b/>
          <w:i w:val="0"/>
          <w:sz w:val="20"/>
        </w:rPr>
        <w:t>VII. PROPOSED CONCEPTUAL ARCHITECTURE OF SENTRIZK</w:t>
      </w:r>
    </w:p>
    <w:p>
      <w:pPr>
        <w:spacing w:before="0" w:after="60" w:line="240" w:lineRule="auto"/>
        <w:ind w:firstLine="288"/>
        <w:jc w:val="both"/>
      </w:pPr>
      <w:r>
        <w:rPr>
          <w:rFonts w:ascii="Times New Roman" w:hAnsi="Times New Roman"/>
          <w:b w:val="0"/>
          <w:i w:val="0"/>
          <w:sz w:val="20"/>
        </w:rPr>
        <w:t>Building on the gaps identified across the three reviewed domains, this section presents the proposed conceptual architecture of SentriZK. It is important to state at the outset that the architecture described here is a design-stage proposal: it consolidates mechanisms that have each been validated independently in the literature into a single unified platform, but the integrated system has not yet been implemented, and no experimental measurements of SentriZK itself are reported in this work. The intent is to articulate a coherent design rationale that draws together established end-to-end encrypted transport [3], non-interactive zero-knowledge authentication [10], [11], [12], and lightweight on-device threat detection [5], [4], [6], [7], [8], [9], and to make explicit the open challenges that empirical follow-up work must address.</w:t>
      </w:r>
    </w:p>
    <w:p>
      <w:pPr>
        <w:spacing w:before="120" w:after="40" w:line="240" w:lineRule="auto"/>
        <w:jc w:val="left"/>
      </w:pPr>
      <w:r>
        <w:rPr>
          <w:rFonts w:ascii="Times New Roman" w:hAnsi="Times New Roman"/>
          <w:b w:val="0"/>
          <w:i/>
          <w:sz w:val="20"/>
        </w:rPr>
        <w:t>A. Design Goals</w:t>
      </w:r>
    </w:p>
    <w:p>
      <w:pPr>
        <w:spacing w:before="0" w:after="60" w:line="240" w:lineRule="auto"/>
        <w:ind w:firstLine="288"/>
        <w:jc w:val="both"/>
      </w:pPr>
      <w:r>
        <w:rPr>
          <w:rFonts w:ascii="Times New Roman" w:hAnsi="Times New Roman"/>
          <w:b w:val="0"/>
          <w:i w:val="0"/>
          <w:sz w:val="20"/>
        </w:rPr>
        <w:t>Four design goals direct the proposed architecture. The first is confidentiality: every message must remain unreadable to any intermediary, including the messaging server, which is achieved by retaining well-vetted end-to-end encryption primitives so that only the communicating endpoints can decrypt content [3]. The second is privacy-preserving authentication: a user must be able to prove possession of a valid credential without transmitting a password, secret, or other disclosable factor, thereby eliminating the disclosure-based risk of conventional login and the human-error-prone manual fingerprint-verification ceremonies that current encrypted messengers rely upon [2], [10], [11]. The third is on-device intelligence: threat detection over both message content and behavioural signals must execute locally so that no raw user data leaves the device, avoiding the cloud latency and privacy leakage inherent in server-side analysis [4], [6], [7], [8]. The fourth is usability: because prior work shows that optional, manually performed security tasks are routinely skipped or failed by users [2], trust establishment and threat screening in SentriZK are designed to be automatic and transparent, removing human intervention from the critical security path rather than delegating it to the user.</w:t>
      </w:r>
    </w:p>
    <w:p>
      <w:pPr>
        <w:spacing w:before="120" w:after="40" w:line="240" w:lineRule="auto"/>
        <w:jc w:val="left"/>
      </w:pPr>
      <w:r>
        <w:rPr>
          <w:rFonts w:ascii="Times New Roman" w:hAnsi="Times New Roman"/>
          <w:b w:val="0"/>
          <w:i/>
          <w:sz w:val="20"/>
        </w:rPr>
        <w:t>B. Layered System Overview</w:t>
      </w:r>
    </w:p>
    <w:p>
      <w:pPr>
        <w:spacing w:before="0" w:after="60" w:line="240" w:lineRule="auto"/>
        <w:ind w:firstLine="288"/>
        <w:jc w:val="both"/>
      </w:pPr>
      <w:r>
        <w:rPr>
          <w:rFonts w:ascii="Times New Roman" w:hAnsi="Times New Roman"/>
          <w:b w:val="0"/>
          <w:i w:val="0"/>
          <w:sz w:val="20"/>
        </w:rPr>
        <w:t>SentriZK is organised as a layered architecture in which each layer addresses one of the design goals and maps onto a body of validated prior work. Fig. 1 illustrates the layered architecture of SentriZK. The lowest layer is an end-to-end encrypted transport layer that derives an identical shared secret on each client using Diffie-Hellman and Elliptic Curve Diffie-Hellman key exchange without transmitting private keys, and encrypts messages with AES-256 before transmission, so that messages stored or relayed by the server remain decryptable only by the endpoints holding the shared key [3]. This layer is hosted on a modular, horizontally scalable backend of the kind demonstrated for E2EE chat, comprising an API gateway, an authentication service, a real-time WebSocket service, a chat service, an encrypted-at-rest datastore, and an asynchronous message broker, which provides scalability and reduces single points of failure [3].</w:t>
      </w:r>
    </w:p>
    <w:p>
      <w:pPr>
        <w:jc w:val="center"/>
      </w:pPr>
      <w:r>
        <w:drawing>
          <wp:inline xmlns:a="http://schemas.openxmlformats.org/drawingml/2006/main" xmlns:pic="http://schemas.openxmlformats.org/drawingml/2006/picture">
            <wp:extent cx="2926080" cy="268510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2926080" cy="2685109"/>
                    </a:xfrm>
                    <a:prstGeom prst="rect"/>
                  </pic:spPr>
                </pic:pic>
              </a:graphicData>
            </a:graphic>
          </wp:inline>
        </w:drawing>
      </w:r>
    </w:p>
    <w:p>
      <w:pPr>
        <w:spacing w:before="40" w:after="120" w:line="240" w:lineRule="auto"/>
        <w:jc w:val="center"/>
      </w:pPr>
      <w:r>
        <w:rPr>
          <w:rFonts w:ascii="Times New Roman" w:hAnsi="Times New Roman"/>
          <w:b w:val="0"/>
          <w:i w:val="0"/>
          <w:sz w:val="16"/>
        </w:rPr>
        <w:t>Fig. 1. Conceptual layered architecture of SentriZK.</w:t>
      </w:r>
    </w:p>
    <w:p>
      <w:pPr>
        <w:spacing w:before="0" w:after="60" w:line="240" w:lineRule="auto"/>
        <w:ind w:firstLine="288"/>
        <w:jc w:val="both"/>
      </w:pPr>
      <w:r>
        <w:rPr>
          <w:rFonts w:ascii="Times New Roman" w:hAnsi="Times New Roman"/>
          <w:b w:val="0"/>
          <w:i w:val="0"/>
          <w:sz w:val="20"/>
        </w:rPr>
        <w:t>Above the transport layer sits a zero-knowledge authentication layer that replaces password transmission and manual verification ceremonies with a non-interactive zero-knowledge proof. SentriZK proposes Groth16 zk-SNARKs, in which the prover produces a small proof that is fast to verify but depends on a one-time trusted setup, a trade-off favoured over interactive proofs and over zk-STARKs whose larger proofs impose unattractive bandwidth and storage costs on mobile clients [10]. This choice is supported by evidence that non-interactive zero-knowledge authentication natively provides anonymity and man-in-the-middle resistance with lower computational and communication overhead than PKI, and can satisfy the energy and computation budgets of constrained devices [11], and by a deployed zk-SNARK identity-management system of the same Pinocchio/Groth16 family that delivers password-less, identity-hiding authentication on a real cryptographic stack [12]. The topmost layer is an on-device detection layer running compact models via TensorFlow Lite. It performs two complementary functions: behavioural insider-threat and anomaly detection over sequential signals such as access and activity logs using bidirectional LSTM and related deep sequence models [5], [4], [6], and content-based phishing and smishing detection over message text and embedded links using compressed transformers and lightweight ensembles [7], [8], [9]. Each layer is loosely coupled so that the authentication and detection layers can evolve independently of the transport substrate.</w:t>
      </w:r>
    </w:p>
    <w:p>
      <w:pPr>
        <w:spacing w:before="120" w:after="40" w:line="240" w:lineRule="auto"/>
        <w:jc w:val="left"/>
      </w:pPr>
      <w:r>
        <w:rPr>
          <w:rFonts w:ascii="Times New Roman" w:hAnsi="Times New Roman"/>
          <w:b w:val="0"/>
          <w:i/>
          <w:sz w:val="20"/>
        </w:rPr>
        <w:t>C. Privacy-Preserving Authentication Flow</w:t>
      </w:r>
    </w:p>
    <w:p>
      <w:pPr>
        <w:spacing w:before="0" w:after="60" w:line="240" w:lineRule="auto"/>
        <w:ind w:firstLine="288"/>
        <w:jc w:val="both"/>
      </w:pPr>
      <w:r>
        <w:rPr>
          <w:rFonts w:ascii="Times New Roman" w:hAnsi="Times New Roman"/>
          <w:b w:val="0"/>
          <w:i w:val="0"/>
          <w:sz w:val="20"/>
        </w:rPr>
        <w:t>The proposed authentication flow allows a user to prove possession of a valid enterprise credential without ever revealing it. During an enrolment phase, the user's secret is bound to a public commitment, and a one-time trusted setup generates the proving and verification parameters for the authentication circuit, following the parameter-generation model intrinsic to zk-SNARK constructions [10], [12]. At login, the client device acts as the prover and generates a non-interactive proof attesting that it knows a secret consistent with the stored commitment; the server acts as the verifier and accepts or rejects the proof without learning the secret, since a zero-knowledge proof convinces the verifier that a statement is true while revealing nothing beyond its validity [10]. Because the proof is non-interactive, the multi-round challenge-response exchange of interactive protocols is collapsed into a single message, reducing both prover and verifier burden and making the flow suitable for mobile, real-time use [11]. This design directly targets the residual weakness of encrypted messengers, in which active man-in-the-middle resistance depends on users completing optional, error-prone fingerprint ceremonies [2]; by authenticating cryptographically rather than through human comparison, SentriZK removes the user from the trust-establishment step. The identity-management work of Luong and Park further illustrates how such a flow can be hardened, for example through a per-proof nonce that prevents certificate reuse and collusion, and how selective disclosure of minor attributes and threshold-based traceability can balance privacy with the accountability an enterprise requires [12].</w:t>
      </w:r>
    </w:p>
    <w:p>
      <w:pPr>
        <w:spacing w:before="120" w:after="40" w:line="240" w:lineRule="auto"/>
        <w:jc w:val="left"/>
      </w:pPr>
      <w:r>
        <w:rPr>
          <w:rFonts w:ascii="Times New Roman" w:hAnsi="Times New Roman"/>
          <w:b w:val="0"/>
          <w:i/>
          <w:sz w:val="20"/>
        </w:rPr>
        <w:t>D. On-Device Threat Detection Pipeline</w:t>
      </w:r>
    </w:p>
    <w:p>
      <w:pPr>
        <w:spacing w:before="0" w:after="60" w:line="240" w:lineRule="auto"/>
        <w:ind w:firstLine="288"/>
        <w:jc w:val="both"/>
      </w:pPr>
      <w:r>
        <w:rPr>
          <w:rFonts w:ascii="Times New Roman" w:hAnsi="Times New Roman"/>
          <w:b w:val="0"/>
          <w:i w:val="0"/>
          <w:sz w:val="20"/>
        </w:rPr>
        <w:t>The detection pipeline is designed so that inference occurs entirely on the user's device and no raw message content or behavioural data is transmitted off-device for analysis, preserving privacy while avoiding cloud latency [7], [8]. Incoming and outgoing messages, once decrypted locally by the legitimate endpoint, are passed through a content-screening stage that applies a compact transformer such as a TinyBERT-based classifier to flag phishing and smishing text, a configuration shown to achieve high accuracy on Android-oriented detection while remaining lightweight [7], with efficiency-aware model selection guided by composite training, inference, and real-time detection metrics so that latency and battery budgets are respected [8]. Embedded links are additionally screened by a fast, content-independent URL classifier of the kind that reaches high accuracy with low latency and no third-party dependency [9]. In parallel, a behavioural stage feeds sequential activity signals into a bidirectional LSTM detector to surface insider-threat and anomaly patterns over time [5], [4], [6]. Models are intended to be converted to TensorFlow Lite for on-device execution; the literature on running LSTM-based anomaly detection on mobile and Android devices confirms the feasibility of this approach while noting its time and bandwidth demands [6]. Detection outcomes are surfaced as local alerts and never require exporting user data, keeping the second pillar consistent with the platform's privacy-preserving goal.</w:t>
      </w:r>
    </w:p>
    <w:p>
      <w:pPr>
        <w:spacing w:before="120" w:after="40" w:line="240" w:lineRule="auto"/>
        <w:jc w:val="left"/>
      </w:pPr>
      <w:r>
        <w:rPr>
          <w:rFonts w:ascii="Times New Roman" w:hAnsi="Times New Roman"/>
          <w:b w:val="0"/>
          <w:i/>
          <w:sz w:val="20"/>
        </w:rPr>
        <w:t>E. Security and Privacy Considerations</w:t>
      </w:r>
    </w:p>
    <w:p>
      <w:pPr>
        <w:spacing w:before="0" w:after="60" w:line="240" w:lineRule="auto"/>
        <w:ind w:firstLine="288"/>
        <w:jc w:val="both"/>
      </w:pPr>
      <w:r>
        <w:rPr>
          <w:rFonts w:ascii="Times New Roman" w:hAnsi="Times New Roman"/>
          <w:b w:val="0"/>
          <w:i w:val="0"/>
          <w:sz w:val="20"/>
        </w:rPr>
        <w:t>The proposed architecture can be qualitatively mapped onto the enterprise messaging attack surface enumerated by structured threat modelling [1]. Spoofing and unauthorised access are countered by the zero-knowledge authentication layer, which establishes identity cryptographically without disclosing credentials and without depending on a fragile manual ceremony [2], [10], [12]. Information disclosure and tampering in transit are addressed by the end-to-end encrypted transport layer, in which only the endpoints can decrypt content even against a compromised server [3], directly mitigating the incomplete encryption coverage that case studies identify as a recurring weakness [1]. Insider misuse, which threat modelling flags as a high-priority, human-factor risk, is targeted by the on-device behavioural detection layer that monitors for anomalous activity by otherwise authorised users [5], [4], [1], while phishing, smishing, and impersonation vectors are screened at the content layer [7], [8], [9]. In this way SentriZK consolidates the technical, monitoring, and authentication controls that the threat model recommends, and answers its explicit call to fuse AI-driven anomaly detection with the broader security design [1]. Several open challenges remain and define the empirical agenda for future work. zk-SNARK proof generation is computationally heavy on mobile hardware: reported figures include large proving keys and multi-second proving times, with infeasibility on devices below modest memory thresholds, underscoring the need for lighter proving and zk-SNARK-friendly circuits and the avoidance of on-chain settlement for routine login [11], [12]. On-device detection faces complementary constraints of model size, inference latency, and battery consumption, and the reviewed detection studies notably omit measured on-device latency, memory, and model-size figures, leaving these as the central questions a SentriZK prototype must resolve [6], [8]. Because the architecture is a proposal, all such trade-offs are currently grounded in the cited prior work rather than in measurements of the integrated system, and validating them empirically is the immediate next step.</w:t>
      </w:r>
    </w:p>
    <w:p>
      <w:pPr>
        <w:spacing w:before="200" w:after="80" w:line="240" w:lineRule="auto"/>
        <w:jc w:val="center"/>
      </w:pPr>
      <w:r>
        <w:rPr>
          <w:rFonts w:ascii="Times New Roman" w:hAnsi="Times New Roman"/>
          <w:b/>
          <w:i w:val="0"/>
          <w:sz w:val="20"/>
        </w:rPr>
        <w:t>VIII. CONCLUSION AND FUTURE WORK</w:t>
      </w:r>
    </w:p>
    <w:p>
      <w:pPr>
        <w:spacing w:before="0" w:after="60" w:line="240" w:lineRule="auto"/>
        <w:ind w:firstLine="288"/>
        <w:jc w:val="both"/>
      </w:pPr>
      <w:r>
        <w:rPr>
          <w:rFonts w:ascii="Times New Roman" w:hAnsi="Times New Roman"/>
          <w:b w:val="0"/>
          <w:i w:val="0"/>
          <w:sz w:val="20"/>
        </w:rPr>
        <w:t>This review examined the state of the art across the three technical domains that underpin SentriZK and established a consistent picture of both progress and unresolved gaps. In the domain of confidentiality and authentication, the surveyed evidence shows that popular messaging applications operate only in an opportunistic end-to-end-encryption mode that defends against passive interception but remains vulnerable to active man-in-the-middle attacks through server-side key substitution, and that the authentication ceremonies meant to close this gap are optional and routinely defeated by human error [2]. A concrete microservice implementation using Diffie-Hellman/ECDH key exchange with AES-256 confirms that strong message confidentiality against a compromised server is achievable, yet it lacks an authentication mechanism and on-device threat detection, leaving man-in-the-middle resistance dependent on fragile out-of-band trust [3]. In the authentication domain, zero-knowledge proofs were shown to allow a prover to demonstrate possession of a secret without disclosing it, providing anonymity and man-in-the-middle resistance with lower overhead than PKI, with non-interactive zk-SNARKs offering succinct, fast-to-verify proofs [10], [11], and a real zk-SNARK identity-management deployment demonstrating password-less anonymous authentication on an EVM stack [12]. In the threat-detection domain, deep-learning sequence models such as BiLSTM and LSTM were validated for insider-threat and anomaly detection [5], [4], [6], while compact transformer and feature-based classifiers achieved high-accuracy phishing and smishing detection suitable for resource-constrained Android devices [7], [8], [9]. Threat modeling for enterprise messaging further confirmed unauthorized access, data interception, and insider misuse as the dominant risk vectors [1].</w:t>
      </w:r>
    </w:p>
    <w:p>
      <w:pPr>
        <w:spacing w:before="0" w:after="60" w:line="240" w:lineRule="auto"/>
        <w:ind w:firstLine="288"/>
        <w:jc w:val="both"/>
      </w:pPr>
      <w:r>
        <w:rPr>
          <w:rFonts w:ascii="Times New Roman" w:hAnsi="Times New Roman"/>
          <w:b w:val="0"/>
          <w:i w:val="0"/>
          <w:sz w:val="20"/>
        </w:rPr>
        <w:t>Across these domains a clear integration gap persists: confidentiality, privacy-preserving authentication, and intelligent threat detection have advanced largely in isolation, and no surveyed system unifies all three within a single mobile-first enterprise messenger. SentriZK is proposed to close this gap by combining established end-to-end encrypted transport (Diffie-Hellman key exchange with AES-256) [3], non-interactive zk-SNARK (Groth16) authentication that removes error-prone manual fingerprint-verification ceremonies [2], [10], [12], and on-device deep-learning threat detection deployed via TensorFlow Lite to avoid cloud latency and privacy leakage [5], [4], [7], [8]. As this work is a literature review at the design and review stage, no experimental performance is claimed for SentriZK; its contribution is the unifying conceptual architecture motivated by the gaps identified above.</w:t>
      </w:r>
    </w:p>
    <w:p>
      <w:pPr>
        <w:spacing w:before="0" w:after="60" w:line="240" w:lineRule="auto"/>
        <w:ind w:firstLine="288"/>
        <w:jc w:val="both"/>
      </w:pPr>
      <w:r>
        <w:rPr>
          <w:rFonts w:ascii="Times New Roman" w:hAnsi="Times New Roman"/>
          <w:b w:val="0"/>
          <w:i w:val="0"/>
          <w:sz w:val="20"/>
        </w:rPr>
        <w:t>Future work will proceed along several concrete directions. First, a functional Android prototype will be implemented to realize the three pillars end to end. Second, an evaluation plan will benchmark the threat-detection models against public datasets, including the CMU CERT corpus for insider-threat detection [4] and public phishing and URL datasets for social-engineering detection [8], [9]. Third, on-device efficiency will be benchmarked, measuring inference latency, memory footprint, and battery impact under the composite efficiency criteria suited to resource-limited devices [8]. Fourth, the zk-SNARK proof-generation overhead will be measured directly on mobile hardware, since prior work reports large proving keys and multi-second proof times that may be infeasible under tight mobile constraints [11], [12]. Fifth, a usability study will compare zero-knowledge-proof authentication against the manual authentication ceremonies whose human-error failures this review documented [2]. Finally, the system's security posture will be validated against a formal threat model covering spoofing, data interception, and insider misuse [1]. Together these steps will move SentriZK from a motivated design toward an empirically evaluated, privacy-preserving secure messaging platform.</w:t>
      </w:r>
    </w:p>
    <w:p>
      <w:pPr>
        <w:spacing w:before="200" w:after="80" w:line="240" w:lineRule="auto"/>
        <w:jc w:val="center"/>
      </w:pPr>
      <w:r>
        <w:rPr>
          <w:rFonts w:ascii="Times New Roman" w:hAnsi="Times New Roman"/>
          <w:b/>
          <w:i w:val="0"/>
          <w:sz w:val="20"/>
        </w:rPr>
        <w:t>REFERENCES</w:t>
      </w:r>
    </w:p>
    <w:p>
      <w:pPr>
        <w:spacing w:after="40" w:line="240" w:lineRule="auto"/>
        <w:ind w:left="317" w:hanging="317"/>
        <w:jc w:val="both"/>
      </w:pPr>
      <w:r>
        <w:rPr>
          <w:rFonts w:ascii="Times New Roman" w:hAnsi="Times New Roman"/>
          <w:sz w:val="16"/>
        </w:rPr>
        <w:t>[1]</w:t>
        <w:tab/>
        <w:t>M. Ilesanmi, "Threat modeling for enterprise secure messaging applications," 2025. (unpublished)</w:t>
      </w:r>
    </w:p>
    <w:p>
      <w:pPr>
        <w:spacing w:after="40" w:line="240" w:lineRule="auto"/>
        <w:ind w:left="317" w:hanging="317"/>
        <w:jc w:val="both"/>
      </w:pPr>
      <w:r>
        <w:rPr>
          <w:rFonts w:ascii="Times New Roman" w:hAnsi="Times New Roman"/>
          <w:sz w:val="16"/>
        </w:rPr>
        <w:t>[2]</w:t>
        <w:tab/>
        <w:t>M. Alatawi and N. Saxena, "SoK: An analysis of end-to-end encryption and authentication ceremonies in secure messaging systems," in Proc. 16th ACM Conf. Security and Privacy in Wireless and Mobile Networks (WiSec '23), Guildford, U.K., 2023, pp. 187-201, doi: 10.1145/3558482.3581773.</w:t>
      </w:r>
    </w:p>
    <w:p>
      <w:pPr>
        <w:spacing w:after="40" w:line="240" w:lineRule="auto"/>
        <w:ind w:left="317" w:hanging="317"/>
        <w:jc w:val="both"/>
      </w:pPr>
      <w:r>
        <w:rPr>
          <w:rFonts w:ascii="Times New Roman" w:hAnsi="Times New Roman"/>
          <w:sz w:val="16"/>
        </w:rPr>
        <w:t>[3]</w:t>
        <w:tab/>
        <w:t>M. J. P. Perkasa, H. M. Ramdan, A. J. Maliki, and Somantri, "Implementation of secure end-to-end encrypted chat application using Diffie-Hellman key exchange and AES-256 in a microservice architecture," Eng. Proc., vol. 107, no. 1, art. 98, 2025, doi: 10.3390/engproc2025107098.</w:t>
      </w:r>
    </w:p>
    <w:p>
      <w:pPr>
        <w:spacing w:after="40" w:line="240" w:lineRule="auto"/>
        <w:ind w:left="317" w:hanging="317"/>
        <w:jc w:val="both"/>
      </w:pPr>
      <w:r>
        <w:rPr>
          <w:rFonts w:ascii="Times New Roman" w:hAnsi="Times New Roman"/>
          <w:sz w:val="16"/>
        </w:rPr>
        <w:t>[4]</w:t>
        <w:tab/>
        <w:t>F. R. Alzaabi and A. Mehmood, "A review of recent advances, challenges, and opportunities in malicious insider threat detection using machine learning methods," IEEE Access, vol. 12, pp. 30907-30927, 2024, doi: 10.1109/ACCESS.2024.3369906.</w:t>
      </w:r>
    </w:p>
    <w:p>
      <w:pPr>
        <w:spacing w:after="40" w:line="240" w:lineRule="auto"/>
        <w:ind w:left="317" w:hanging="317"/>
        <w:jc w:val="both"/>
      </w:pPr>
      <w:r>
        <w:rPr>
          <w:rFonts w:ascii="Times New Roman" w:hAnsi="Times New Roman"/>
          <w:sz w:val="16"/>
        </w:rPr>
        <w:t>[5]</w:t>
        <w:tab/>
        <w:t>K. Srinivasan, G. S. Chauhan, and M. Almahdi, "Insider threat detection and secure data transfer leveraging bidirectional LSTM with grouped orthogonal initialization and swish activation," International Journal of Digital Innovation and Discoveries, pp. 15-21, 2025.</w:t>
      </w:r>
    </w:p>
    <w:p>
      <w:pPr>
        <w:spacing w:after="40" w:line="240" w:lineRule="auto"/>
        <w:ind w:left="317" w:hanging="317"/>
        <w:jc w:val="both"/>
      </w:pPr>
      <w:r>
        <w:rPr>
          <w:rFonts w:ascii="Times New Roman" w:hAnsi="Times New Roman"/>
          <w:sz w:val="16"/>
        </w:rPr>
        <w:t>[6]</w:t>
        <w:tab/>
        <w:t>S. Natha, M. Leghari, M. A. Rajput, S. S. Zia, and J. Shabir, "A Systematic Review of Anomaly Detection Using Machine and Deep Learning Techniques," Quaid-e-Awam Univ. Res. J. Eng. Sci. Technol. (QUEST Research Journal), vol. 20, no. 1, pp. 83-94, Jan.-Jun. 2022, doi: 10.52584/QRJ.2001.11.</w:t>
      </w:r>
    </w:p>
    <w:p>
      <w:pPr>
        <w:spacing w:after="40" w:line="240" w:lineRule="auto"/>
        <w:ind w:left="317" w:hanging="317"/>
        <w:jc w:val="both"/>
      </w:pPr>
      <w:r>
        <w:rPr>
          <w:rFonts w:ascii="Times New Roman" w:hAnsi="Times New Roman"/>
          <w:sz w:val="16"/>
        </w:rPr>
        <w:t>[7]</w:t>
        <w:tab/>
        <w:t>A. Gaurav, B. B. Gupta, and K. T. Chui, "AI-Driven Smishing Detection in Android Devices Using TinyBERT and Aquila Optimization," in Proc. 27th Int. Conf. Advanced Communications Technology (ICACT), 2025, pp. 99-105, ISBN: 979-11-88428-13-7.</w:t>
      </w:r>
    </w:p>
    <w:p>
      <w:pPr>
        <w:spacing w:after="40" w:line="240" w:lineRule="auto"/>
        <w:ind w:left="317" w:hanging="317"/>
        <w:jc w:val="both"/>
      </w:pPr>
      <w:r>
        <w:rPr>
          <w:rFonts w:ascii="Times New Roman" w:hAnsi="Times New Roman"/>
          <w:sz w:val="16"/>
        </w:rPr>
        <w:t>[8]</w:t>
        <w:tab/>
        <w:t>G. D. Bispo, C. A. B. de Andrade, G. M. Saiki, R. V. Borges, A. L. M. Serrano, G. P. Rocha Filho, and V. P. Goncalves, "PHILDER: Lightweight framework for intelligent phishing detection on resource-limited devices," IEEE Access, vol. 13, pp. 131967-131979, 2025, doi: 10.1109/ACCESS.2025.3592541.</w:t>
      </w:r>
    </w:p>
    <w:p>
      <w:pPr>
        <w:spacing w:after="40" w:line="240" w:lineRule="auto"/>
        <w:ind w:left="317" w:hanging="317"/>
        <w:jc w:val="both"/>
      </w:pPr>
      <w:r>
        <w:rPr>
          <w:rFonts w:ascii="Times New Roman" w:hAnsi="Times New Roman"/>
          <w:sz w:val="16"/>
        </w:rPr>
        <w:t>[9]</w:t>
        <w:tab/>
        <w:t>A. Karim, M. Shahroz, K. Mustofa, S. B. Belhaouari, and S. R. K. Joga, "Phishing detection system through hybrid machine learning based on URL," IEEE Access, 2023, doi: 10.1109/ACCESS.2023.3252366.</w:t>
      </w:r>
    </w:p>
    <w:p>
      <w:pPr>
        <w:spacing w:after="40" w:line="240" w:lineRule="auto"/>
        <w:ind w:left="317" w:hanging="317"/>
        <w:jc w:val="both"/>
      </w:pPr>
      <w:r>
        <w:rPr>
          <w:rFonts w:ascii="Times New Roman" w:hAnsi="Times New Roman"/>
          <w:sz w:val="16"/>
        </w:rPr>
        <w:t>[10]</w:t>
        <w:tab/>
        <w:t>S. Bhattacharya, D. Seth, S. Panyam, and P. Gangrade, "Enhancing digital privacy: The application of zero-knowledge proofs in authentication systems," International Journal of Computer Trends and Technology, vol. 72, no. 4, pp. 34-41, Apr. 2024, doi: 10.14445/22312803/IJCTT-V72I4P104.</w:t>
      </w:r>
    </w:p>
    <w:p>
      <w:pPr>
        <w:spacing w:after="40" w:line="240" w:lineRule="auto"/>
        <w:ind w:left="317" w:hanging="317"/>
        <w:jc w:val="both"/>
      </w:pPr>
      <w:r>
        <w:rPr>
          <w:rFonts w:ascii="Times New Roman" w:hAnsi="Times New Roman"/>
          <w:sz w:val="16"/>
        </w:rPr>
        <w:t>[11]</w:t>
        <w:tab/>
        <w:t>Z. Chen, Y. Jiang, X. Song, and L. Chen, "A survey on zero-knowledge authentication for Internet of Things," Electronics, vol. 12, no. 5, art. 1145, 2023, doi: 10.3390/electronics12051145.</w:t>
      </w:r>
    </w:p>
    <w:p>
      <w:pPr>
        <w:spacing w:after="40" w:line="240" w:lineRule="auto"/>
        <w:ind w:left="317" w:hanging="317"/>
        <w:jc w:val="both"/>
      </w:pPr>
      <w:r>
        <w:rPr>
          <w:rFonts w:ascii="Times New Roman" w:hAnsi="Times New Roman"/>
          <w:sz w:val="16"/>
        </w:rPr>
        <w:t>[12]</w:t>
        <w:tab/>
        <w:t>D. A. Luong and J. H. Park, "Privacy-Preserving Identity Management System on Blockchain Using zk-SNARK," IEEE Access, 2023, doi: 10.1109/ACCESS.2022.3233828.</w:t>
      </w:r>
    </w:p>
    <w:sectPr w:rsidR="00FC693F" w:rsidRPr="0006063C" w:rsidSect="00034616">
      <w:type w:val="continuous"/>
      <w:pgSz w:w="11909" w:h="16834"/>
      <w:pgMar w:top="1008" w:right="864" w:bottom="1008" w:left="864" w:header="720" w:footer="720" w:gutter="0"/>
      <w:cols w:space="425"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