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r>
    </w:p>
    <w:p>
      <w:pPr>
        <w:spacing w:line="360" w:lineRule="auto"/>
        <w:jc w:val="center"/>
      </w:pPr>
      <w:r>
        <w:rPr>
          <w:rFonts w:ascii="Arial" w:hAnsi="Arial" w:cs="Arial"/>
          <w:b/>
          <w:i w:val="0"/>
          <w:sz w:val="28"/>
        </w:rPr>
        <w:t>CHAPTER 6</w:t>
      </w:r>
    </w:p>
    <w:p>
      <w:pPr>
        <w:spacing w:line="360" w:lineRule="auto" w:after="240"/>
        <w:jc w:val="center"/>
      </w:pPr>
      <w:r>
        <w:rPr>
          <w:rFonts w:ascii="Arial" w:hAnsi="Arial" w:cs="Arial"/>
          <w:b/>
          <w:i w:val="0"/>
          <w:sz w:val="28"/>
        </w:rPr>
        <w:t>CONCLUSIONS AND RECOMMENDATIONS</w:t>
      </w:r>
    </w:p>
    <w:p>
      <w:pPr>
        <w:spacing w:line="360" w:lineRule="auto" w:before="120" w:after="120"/>
        <w:jc w:val="left"/>
      </w:pPr>
      <w:r>
        <w:rPr>
          <w:rFonts w:ascii="Arial" w:hAnsi="Arial" w:cs="Arial"/>
          <w:b/>
          <w:i w:val="0"/>
          <w:sz w:val="24"/>
        </w:rPr>
        <w:t>6.1 Introduction</w:t>
      </w:r>
    </w:p>
    <w:p>
      <w:pPr>
        <w:spacing w:line="360" w:lineRule="auto" w:after="120"/>
        <w:jc w:val="both"/>
      </w:pPr>
      <w:r>
        <w:rPr>
          <w:rFonts w:ascii="Arial" w:hAnsi="Arial" w:cs="Arial"/>
          <w:b w:val="0"/>
          <w:i w:val="0"/>
          <w:sz w:val="24"/>
        </w:rPr>
        <w:t>This final chapter concludes the dissertation. It revisits the aim and objectives set out in Chapter 1 and evaluates the extent to which each has been achieved, drawing on the evidence presented in the preceding chapters. It then offers a general conclusion that situates the project's findings within the body of literature reviewed in Chapter 2, before candidly setting out the limitations of the work and the recommendations for future development that follow from them. The chapter closes with a discussion of the system's commercial potential and a set of concluding remarks on what the project has demonstrated.</w:t>
      </w:r>
    </w:p>
    <w:p>
      <w:pPr>
        <w:spacing w:line="360" w:lineRule="auto" w:before="120" w:after="120"/>
        <w:jc w:val="left"/>
      </w:pPr>
      <w:r>
        <w:rPr>
          <w:rFonts w:ascii="Arial" w:hAnsi="Arial" w:cs="Arial"/>
          <w:b/>
          <w:i w:val="0"/>
          <w:sz w:val="24"/>
        </w:rPr>
        <w:t>6.2 Achievement of the Project Objectives</w:t>
      </w:r>
    </w:p>
    <w:p>
      <w:pPr>
        <w:spacing w:line="360" w:lineRule="auto" w:after="120"/>
        <w:jc w:val="both"/>
      </w:pPr>
      <w:r>
        <w:rPr>
          <w:rFonts w:ascii="Arial" w:hAnsi="Arial" w:cs="Arial"/>
          <w:b w:val="0"/>
          <w:i w:val="0"/>
          <w:sz w:val="24"/>
        </w:rPr>
        <w:t>The aim of this project was to develop a secure internal chat application for small and medium enterprises that integrates Zero-Knowledge Proof authentication and on-device AI anomaly detection in order to eliminate credential theft and detect insider threats without compromising user privacy. This aim was pursued through three objectives, each of which has been met as described below and summarised in Table 6.1.</w:t>
      </w:r>
    </w:p>
    <w:p>
      <w:pPr>
        <w:spacing w:line="360" w:lineRule="auto" w:after="120"/>
        <w:jc w:val="both"/>
      </w:pPr>
      <w:r>
        <w:rPr>
          <w:rFonts w:ascii="Arial" w:hAnsi="Arial" w:cs="Arial"/>
          <w:b w:val="0"/>
          <w:i w:val="0"/>
          <w:sz w:val="24"/>
        </w:rPr>
        <w:t>The first objective was to study existing authentication and anomaly-detection methods in internal messaging systems and to identify their security limitations. This objective was achieved through the literature review in Chapter 2, which analysed Zero-Knowledge Proofs, end-to-end encryption protocols, and on-device AI detection. The review established that, although these technologies are individually mature, they are rarely combined: existing systems either encrypt everything and lose the ability to detect insider threats, or monitor everything and violate privacy. The specific gap identified — the absence of a solution that unifies password-less authentication with private, on-device behavioural detection — became the motivation for the system that was built.</w:t>
      </w:r>
    </w:p>
    <w:p>
      <w:pPr>
        <w:spacing w:line="360" w:lineRule="auto" w:after="120"/>
        <w:jc w:val="both"/>
      </w:pPr>
      <w:r>
        <w:rPr>
          <w:rFonts w:ascii="Arial" w:hAnsi="Arial" w:cs="Arial"/>
          <w:b w:val="0"/>
          <w:i w:val="0"/>
          <w:sz w:val="24"/>
        </w:rPr>
        <w:t>The second objective was to develop the secure chat application itself. This objective was achieved and is documented in Chapter 4, which described the construction of the working SentriZK prototype (release 1.0.8): a Zero-Knowledge authentication module built on Circom circuits and the Groth16 proving system with a Mobile Access Token bridge, an end-to-end encryption module built on the Signal Protocol, and an on-device threat-detection module built on a quantised convolutional neural network. The completeness of the implementation was confirmed by the functional testing in Section 5.3, in which all twelve functional test cases passed.</w:t>
      </w:r>
    </w:p>
    <w:p>
      <w:pPr>
        <w:spacing w:line="360" w:lineRule="auto" w:after="120"/>
        <w:jc w:val="both"/>
      </w:pPr>
      <w:r>
        <w:rPr>
          <w:rFonts w:ascii="Arial" w:hAnsi="Arial" w:cs="Arial"/>
          <w:b w:val="0"/>
          <w:i w:val="0"/>
          <w:sz w:val="24"/>
        </w:rPr>
        <w:t>The third objective was to test the system's functionality and security effectiveness. This objective was achieved and is documented in Chapter 5. The system withstood all nineteen automated and sixteen manual adversarial security tests, organised around the Confidentiality–Integrity–Availability triad; the on-device detection model achieved an accuracy of 89.2 per cent with an area under the ROC curve of 96.2 per cent; the cryptographic workloads were shown to be feasible on consumer hardware; and the system achieved an overall user-acceptance rating of 4.32 out of 5.</w:t>
      </w:r>
    </w:p>
    <w:p>
      <w:pPr>
        <w:spacing w:line="360" w:lineRule="auto" w:before="60" w:after="120"/>
        <w:jc w:val="center"/>
      </w:pPr>
      <w:r>
        <w:rPr>
          <w:rFonts w:ascii="Arial" w:hAnsi="Arial" w:cs="Arial"/>
          <w:b w:val="0"/>
          <w:i w:val="0"/>
          <w:sz w:val="24"/>
        </w:rPr>
        <w:t>Table 6.1: Achievement of the Project Objectives</w:t>
      </w:r>
    </w:p>
    <w:tbl>
      <w:tblPr>
        <w:tblW w:type="auto" w:w="0"/>
        <w:jc w:val="center"/>
        <w:tblLook w:firstColumn="1" w:firstRow="1" w:lastColumn="0" w:lastRow="0" w:noHBand="0" w:noVBand="1" w:val="04A0"/>
      </w:tblPr>
      <w:tblGrid>
        <w:gridCol w:w="2740"/>
        <w:gridCol w:w="2740"/>
        <w:gridCol w:w="2740"/>
      </w:tblGrid>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Objective</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Evidence of achievement</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Status</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 Study existing methods and identify limitations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Literature review and research gap (Chapter 2, Section 2.6)</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Achieved</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2. Develop the integrated secure chat application</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Working prototype v1.0.8 (Chapter 4); 12/12 functional tests pass (Section 5.3)</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Achieved</w:t>
            </w:r>
          </w:p>
        </w:tc>
      </w:tr>
      <w:tr>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3. Test functionality and security effectiveness</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19 automated + 16 manual tests pass; 89.2% accuracy; UAT 4.32/5 (Chapter 5)</w:t>
            </w:r>
          </w:p>
        </w:tc>
        <w:tc>
          <w:tcPr>
            <w:tcW w:type="dxa" w:w="274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Achieved</w:t>
            </w:r>
          </w:p>
        </w:tc>
      </w:tr>
    </w:tbl>
    <w:p>
      <w:pPr>
        <w:spacing w:line="360" w:lineRule="auto" w:before="120" w:after="120"/>
        <w:jc w:val="left"/>
      </w:pPr>
      <w:r>
        <w:rPr>
          <w:rFonts w:ascii="Arial" w:hAnsi="Arial" w:cs="Arial"/>
          <w:b/>
          <w:i w:val="0"/>
          <w:sz w:val="24"/>
        </w:rPr>
        <w:t>6.3 Conclusion of the Project</w:t>
      </w:r>
    </w:p>
    <w:p>
      <w:pPr>
        <w:spacing w:line="360" w:lineRule="auto" w:after="120"/>
        <w:jc w:val="both"/>
      </w:pPr>
      <w:r>
        <w:rPr>
          <w:rFonts w:ascii="Arial" w:hAnsi="Arial" w:cs="Arial"/>
          <w:b w:val="0"/>
          <w:i w:val="0"/>
          <w:sz w:val="24"/>
        </w:rPr>
        <w:t>The central contribution of this project is a demonstration that the long-standing trade-off between privacy and security in enterprise messaging is not inevitable. The reviewed literature framed this as a binary choice — encrypt and lose visibility, or monitor and lose privacy — yet SentriZK shows that a carefully engineered combination of zero-knowledge authentication, end-to-end encryption, and on-device intelligence can deliver both at once. The simulated database-breach and traffic-interception tests confirmed that the server holds no credentials and that messages are never exposed, while the on-device detector still identifies malicious content locally, realising in practice the principle of auditability without visibility discussed in the reviewed work.</w:t>
      </w:r>
    </w:p>
    <w:p>
      <w:pPr>
        <w:spacing w:line="360" w:lineRule="auto" w:after="120"/>
        <w:jc w:val="both"/>
      </w:pPr>
      <w:r>
        <w:rPr>
          <w:rFonts w:ascii="Arial" w:hAnsi="Arial" w:cs="Arial"/>
          <w:b w:val="0"/>
          <w:i w:val="0"/>
          <w:sz w:val="24"/>
        </w:rPr>
        <w:t>The findings are broadly consistent with, and in places extend, the existing literature. The successful generation of Groth16 proofs in two to three seconds confirms the feasibility of zk-SNARK authentication on consumer hardware that earlier surveys had predicted for resource-constrained devices. The detection accuracy of 89.2 per cent is slightly below the headline figures reported for specialised mobile detectors such as PHILDER and TinyBERT, and this is explained by the modest size of the labelled corpus, the short-text nature of the classification task, and the deliberately conservative 0.65 decision threshold. Nevertheless, the result is achieved by a model of only 0.68 MB running wholly on the device, which is consistent with the size–accuracy trade-off identified in the edge-AI literature. A noteworthy finding is that the lightweight convolutional model slightly outperformed the heavier recurrent model overall, suggesting that for short message classification a convolutional feature extractor is a competitive choice rather than merely a concession to mobile constraints. Finally, the adoption of the Signal Protocol addresses the authentication-ceremony weaknesses highlighted in the literature, although, as discussed below, the trust-on-first-use model adopted for usability means that this weakness is mitigated rather than fully eliminated.</w:t>
      </w:r>
    </w:p>
    <w:p>
      <w:pPr>
        <w:spacing w:line="360" w:lineRule="auto" w:before="120" w:after="120"/>
        <w:jc w:val="left"/>
      </w:pPr>
      <w:r>
        <w:rPr>
          <w:rFonts w:ascii="Arial" w:hAnsi="Arial" w:cs="Arial"/>
          <w:b/>
          <w:i w:val="0"/>
          <w:sz w:val="24"/>
        </w:rPr>
        <w:t>6.4 Limitations of the Project</w:t>
      </w:r>
    </w:p>
    <w:p>
      <w:pPr>
        <w:spacing w:line="360" w:lineRule="auto" w:after="120"/>
        <w:jc w:val="both"/>
      </w:pPr>
      <w:r>
        <w:rPr>
          <w:rFonts w:ascii="Arial" w:hAnsi="Arial" w:cs="Arial"/>
          <w:b w:val="0"/>
          <w:i w:val="0"/>
          <w:sz w:val="24"/>
        </w:rPr>
        <w:t>A critical evaluation of the project reveals several limitations, most of which were surfaced by the testing process and are reported here honestly so that they may guide future work.</w:t>
      </w:r>
    </w:p>
    <w:p>
      <w:pPr>
        <w:pStyle w:val="ListBullet"/>
        <w:spacing w:line="360" w:lineRule="auto" w:after="60"/>
      </w:pPr>
      <w:r>
        <w:rPr>
          <w:rFonts w:ascii="Arial" w:hAnsi="Arial" w:cs="Arial"/>
          <w:b/>
          <w:i w:val="0"/>
          <w:sz w:val="24"/>
        </w:rPr>
        <w:t xml:space="preserve">Dependency security: </w:t>
      </w:r>
      <w:r>
        <w:rPr>
          <w:rFonts w:ascii="Arial" w:hAnsi="Arial" w:cs="Arial"/>
          <w:b w:val="0"/>
          <w:i w:val="0"/>
          <w:sz w:val="24"/>
        </w:rPr>
        <w:t>the dependency scan reported a number of transitive vulnerabilities in third-party libraries which, although not directly reachable, should be remediated before production use.</w:t>
      </w:r>
    </w:p>
    <w:p>
      <w:pPr>
        <w:pStyle w:val="ListBullet"/>
        <w:spacing w:line="360" w:lineRule="auto" w:after="60"/>
      </w:pPr>
      <w:r>
        <w:rPr>
          <w:rFonts w:ascii="Arial" w:hAnsi="Arial" w:cs="Arial"/>
          <w:b/>
          <w:i w:val="0"/>
          <w:sz w:val="24"/>
        </w:rPr>
        <w:t xml:space="preserve">Silent sender-side detection: </w:t>
      </w:r>
      <w:r>
        <w:rPr>
          <w:rFonts w:ascii="Arial" w:hAnsi="Arial" w:cs="Arial"/>
          <w:b w:val="0"/>
          <w:i w:val="0"/>
          <w:sz w:val="24"/>
        </w:rPr>
        <w:t>the on-device scan of an outgoing message is performed silently and does not warn or block the sender before a risky message is sent; the warning is shown only on the receiving side, which reduces the preventive value of the detector.</w:t>
      </w:r>
    </w:p>
    <w:p>
      <w:pPr>
        <w:pStyle w:val="ListBullet"/>
        <w:spacing w:line="360" w:lineRule="auto" w:after="60"/>
      </w:pPr>
      <w:r>
        <w:rPr>
          <w:rFonts w:ascii="Arial" w:hAnsi="Arial" w:cs="Arial"/>
          <w:b/>
          <w:i w:val="0"/>
          <w:sz w:val="24"/>
        </w:rPr>
        <w:t xml:space="preserve">Plaintext fallback: </w:t>
      </w:r>
      <w:r>
        <w:rPr>
          <w:rFonts w:ascii="Arial" w:hAnsi="Arial" w:cs="Arial"/>
          <w:b w:val="0"/>
          <w:i w:val="0"/>
          <w:sz w:val="24"/>
        </w:rPr>
        <w:t>the messaging layer falls back to sending plaintext if a recipient has not yet published an encryption bundle, which is a gap in the otherwise ciphertext-only guarantee.</w:t>
      </w:r>
    </w:p>
    <w:p>
      <w:pPr>
        <w:pStyle w:val="ListBullet"/>
        <w:spacing w:line="360" w:lineRule="auto" w:after="60"/>
      </w:pPr>
      <w:r>
        <w:rPr>
          <w:rFonts w:ascii="Arial" w:hAnsi="Arial" w:cs="Arial"/>
          <w:b/>
          <w:i w:val="0"/>
          <w:sz w:val="24"/>
        </w:rPr>
        <w:t xml:space="preserve">Trust-on-first-use key model: </w:t>
      </w:r>
      <w:r>
        <w:rPr>
          <w:rFonts w:ascii="Arial" w:hAnsi="Arial" w:cs="Arial"/>
          <w:b w:val="0"/>
          <w:i w:val="0"/>
          <w:sz w:val="24"/>
        </w:rPr>
        <w:t>to avoid disruptive decryption failures the system trusts a contact's key on first use and silently accepts key changes, which trades strict man-in-the-middle protection for a smoother experience.</w:t>
      </w:r>
    </w:p>
    <w:p>
      <w:pPr>
        <w:pStyle w:val="ListBullet"/>
        <w:spacing w:line="360" w:lineRule="auto" w:after="60"/>
      </w:pPr>
      <w:r>
        <w:rPr>
          <w:rFonts w:ascii="Arial" w:hAnsi="Arial" w:cs="Arial"/>
          <w:b/>
          <w:i w:val="0"/>
          <w:sz w:val="24"/>
        </w:rPr>
        <w:t xml:space="preserve">Local storage at rest: </w:t>
      </w:r>
      <w:r>
        <w:rPr>
          <w:rFonts w:ascii="Arial" w:hAnsi="Arial" w:cs="Arial"/>
          <w:b w:val="0"/>
          <w:i w:val="0"/>
          <w:sz w:val="24"/>
        </w:rPr>
        <w:t>the local database that holds decrypted messages and Signal key material is not encrypted at rest by the application, relying instead on the operating-system sandbox.</w:t>
      </w:r>
    </w:p>
    <w:p>
      <w:pPr>
        <w:pStyle w:val="ListBullet"/>
        <w:spacing w:line="360" w:lineRule="auto" w:after="60"/>
      </w:pPr>
      <w:r>
        <w:rPr>
          <w:rFonts w:ascii="Arial" w:hAnsi="Arial" w:cs="Arial"/>
          <w:b/>
          <w:i w:val="0"/>
          <w:sz w:val="24"/>
        </w:rPr>
        <w:t xml:space="preserve">Web-assisted authentication: </w:t>
      </w:r>
      <w:r>
        <w:rPr>
          <w:rFonts w:ascii="Arial" w:hAnsi="Arial" w:cs="Arial"/>
          <w:b w:val="0"/>
          <w:i w:val="0"/>
          <w:sz w:val="24"/>
        </w:rPr>
        <w:t>because the mobile device cannot run the proving code, authentication depends on a hand-off to the web portal, which introduces an unfamiliar step and a short delay.</w:t>
      </w:r>
    </w:p>
    <w:p>
      <w:pPr>
        <w:pStyle w:val="ListBullet"/>
        <w:spacing w:line="360" w:lineRule="auto" w:after="60"/>
      </w:pPr>
      <w:r>
        <w:rPr>
          <w:rFonts w:ascii="Arial" w:hAnsi="Arial" w:cs="Arial"/>
          <w:b/>
          <w:i w:val="0"/>
          <w:sz w:val="24"/>
        </w:rPr>
        <w:t xml:space="preserve">Platform and evaluation scope: </w:t>
      </w:r>
      <w:r>
        <w:rPr>
          <w:rFonts w:ascii="Arial" w:hAnsi="Arial" w:cs="Arial"/>
          <w:b w:val="0"/>
          <w:i w:val="0"/>
          <w:sz w:val="24"/>
        </w:rPr>
        <w:t>deep-link integration and final verification were carried out on Android only, and the user-acceptance study, while positive, was limited to five participants from a single organisation.</w:t>
      </w:r>
    </w:p>
    <w:p>
      <w:pPr>
        <w:spacing w:line="360" w:lineRule="auto" w:before="120" w:after="120"/>
        <w:jc w:val="left"/>
      </w:pPr>
      <w:r>
        <w:rPr>
          <w:rFonts w:ascii="Arial" w:hAnsi="Arial" w:cs="Arial"/>
          <w:b/>
          <w:i w:val="0"/>
          <w:sz w:val="24"/>
        </w:rPr>
        <w:t>6.5 Recommendations for Future Work</w:t>
      </w:r>
    </w:p>
    <w:p>
      <w:pPr>
        <w:spacing w:line="360" w:lineRule="auto" w:after="120"/>
        <w:jc w:val="both"/>
      </w:pPr>
      <w:r>
        <w:rPr>
          <w:rFonts w:ascii="Arial" w:hAnsi="Arial" w:cs="Arial"/>
          <w:b w:val="0"/>
          <w:i w:val="0"/>
          <w:sz w:val="24"/>
        </w:rPr>
        <w:t>The limitations above translate directly into a programme of future work that would move the prototype towards a complete, production-grade product. Each recommendation in Table 6.2 addresses a corresponding limitation identified in the previous section.</w:t>
      </w:r>
    </w:p>
    <w:p>
      <w:pPr>
        <w:spacing w:line="360" w:lineRule="auto" w:before="60" w:after="120"/>
        <w:jc w:val="center"/>
      </w:pPr>
      <w:r>
        <w:rPr>
          <w:rFonts w:ascii="Arial" w:hAnsi="Arial" w:cs="Arial"/>
          <w:b w:val="0"/>
          <w:i w:val="0"/>
          <w:sz w:val="24"/>
        </w:rPr>
        <w:t>Table 6.2: Limitations and Corresponding Recommendations</w:t>
      </w:r>
    </w:p>
    <w:tbl>
      <w:tblPr>
        <w:tblW w:type="auto" w:w="0"/>
        <w:jc w:val="center"/>
        <w:tblLook w:firstColumn="1" w:firstRow="1" w:lastColumn="0" w:lastRow="0" w:noHBand="0" w:noVBand="1" w:val="04A0"/>
      </w:tblPr>
      <w:tblGrid>
        <w:gridCol w:w="4110"/>
        <w:gridCol w:w="4110"/>
      </w:tblGrid>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Limitation</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i w:val="0"/>
                <w:sz w:val="22"/>
              </w:rPr>
              <w:t>Recommended improvement</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Transitive dependency vulnerabilities</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Apply audit fixes, pin versions, and add automated dependency scanning to a CI pipeline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Silent sender-side detection</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Add a configurable pre-send warning or block for high-risk messages, with admin-tunable sensitivity</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Plaintext fallback</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Enforce ciphertext-only delivery by queuing messages until a recipient bundle is available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Trust-on-first-use key model</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Add an optional key-verification ceremony (safety numbers / QR codes) to authenticate contacts</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Unencrypted local storage</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Encrypt the local database at rest with a key held in the hardware-backed keystore</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Web-assisted authentication</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Investigate a native on-device prover to remove the browser hand-off</w:t>
            </w:r>
          </w:p>
        </w:tc>
      </w:tr>
      <w:tr>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Android-only / small UAT</w:t>
            </w:r>
          </w:p>
        </w:tc>
        <w:tc>
          <w:tcPr>
            <w:tcW w:type="dxa" w:w="4110"/>
            <w:tcBorders>
              <w:top w:val="single" w:sz="4" w:space="0" w:color="000000"/>
              <w:left w:val="single" w:sz="4" w:space="0" w:color="000000"/>
              <w:bottom w:val="single" w:sz="4" w:space="0" w:color="000000"/>
              <w:right w:val="single" w:sz="4" w:space="0" w:color="000000"/>
            </w:tcBorders>
          </w:tcPr>
          <w:p>
            <w:pPr>
              <w:spacing w:line="240" w:lineRule="auto"/>
            </w:pPr>
            <w:r>
              <w:rPr>
                <w:rFonts w:ascii="Arial" w:hAnsi="Arial" w:cs="Arial"/>
                <w:b w:val="0"/>
                <w:i w:val="0"/>
                <w:sz w:val="22"/>
              </w:rPr>
              <w:t>Complete iOS support and conduct a larger, multi-organisation usability study</w:t>
            </w:r>
          </w:p>
        </w:tc>
      </w:tr>
    </w:tbl>
    <w:p>
      <w:pPr>
        <w:spacing w:line="360" w:lineRule="auto" w:after="120"/>
        <w:jc w:val="both"/>
      </w:pPr>
      <w:r>
        <w:rPr>
          <w:rFonts w:ascii="Arial" w:hAnsi="Arial" w:cs="Arial"/>
          <w:b w:val="0"/>
          <w:i w:val="0"/>
          <w:sz w:val="24"/>
        </w:rPr>
        <w:t>Beyond addressing these specific limitations, several broader directions would strengthen the system. The detection model could be extended from short-text classification towards genuine behavioural anomaly detection — for example, modelling unusual login times, message frequencies, and sending patterns — and could be made multilingual and retrained periodically on a larger, continuously gathered dataset, potentially using federated learning so that the model improves without any private data leaving the device. On the cryptographic side, the literature's warnings about future quantum threats motivate migrating the key-exchange and proving systems towards post-quantum-resistant primitives. Together these directions would evolve SentriZK from a working proof of concept into a robust, forward-looking platform.</w:t>
      </w:r>
    </w:p>
    <w:p>
      <w:pPr>
        <w:spacing w:line="360" w:lineRule="auto" w:before="120" w:after="120"/>
        <w:jc w:val="left"/>
      </w:pPr>
      <w:r>
        <w:rPr>
          <w:rFonts w:ascii="Arial" w:hAnsi="Arial" w:cs="Arial"/>
          <w:b/>
          <w:i w:val="0"/>
          <w:sz w:val="24"/>
        </w:rPr>
        <w:t>6.6 Commercialization</w:t>
      </w:r>
    </w:p>
    <w:p>
      <w:pPr>
        <w:spacing w:line="360" w:lineRule="auto" w:after="120"/>
        <w:jc w:val="both"/>
      </w:pPr>
      <w:r>
        <w:rPr>
          <w:rFonts w:ascii="Arial" w:hAnsi="Arial" w:cs="Arial"/>
          <w:b w:val="0"/>
          <w:i w:val="0"/>
          <w:sz w:val="24"/>
        </w:rPr>
        <w:t>SentriZK addresses a clear and growing market need. Small and medium enterprises increasingly handle confidential information yet cannot afford the enterprise security suites used by large organisations, and they are simultaneously subject to data-protection regulations such as the Personal Data Protection Act and the General Data Protection Regulation. SentriZK's combination of password-less authentication, end-to-end encryption, and private on-device threat detection is well matched to this market, particularly for regulated small firms in the legal, financial, and healthcare sectors where confidentiality is paramount.</w:t>
      </w:r>
    </w:p>
    <w:p>
      <w:pPr>
        <w:spacing w:line="360" w:lineRule="auto" w:after="120"/>
        <w:jc w:val="both"/>
      </w:pPr>
      <w:r>
        <w:rPr>
          <w:rFonts w:ascii="Arial" w:hAnsi="Arial" w:cs="Arial"/>
          <w:b w:val="0"/>
          <w:i w:val="0"/>
          <w:sz w:val="24"/>
        </w:rPr>
        <w:t>The project's most compelling commercial argument is its cost structure. By adopting a self-hosted architecture built on open-source components and the free tiers of managed services, the entire system was deployed for a one-time outlay of approximately RM 80 with no recurring operating cost, in contrast to the per-seat monthly fees of commercial platforms. A viable route to market would therefore be a tiered model: a free or low-cost self-hosted edition for cost-sensitive firms, a managed subscription edition for those that prefer not to operate their own infrastructure, and an on-premise licensed edition for organisations with the strictest data-sovereignty requirements. The clearest commercial differentiator is the product's core promise of security without surveillance — the ability to detect threats without ever reading employees' messages — which is difficult for incumbents built on server-side scanning to replicate. A practical path would begin with hardening the prototype, completing a public application-store release, and running pilot deployments with partner enterprises before pursuing the relevant security certifications.</w:t>
      </w:r>
    </w:p>
    <w:p>
      <w:pPr>
        <w:spacing w:line="360" w:lineRule="auto" w:before="120" w:after="120"/>
        <w:jc w:val="left"/>
      </w:pPr>
      <w:r>
        <w:rPr>
          <w:rFonts w:ascii="Arial" w:hAnsi="Arial" w:cs="Arial"/>
          <w:b/>
          <w:i w:val="0"/>
          <w:sz w:val="24"/>
        </w:rPr>
        <w:t>6.7 Concluding Remarks</w:t>
      </w:r>
    </w:p>
    <w:p>
      <w:pPr>
        <w:spacing w:line="360" w:lineRule="auto" w:after="120"/>
        <w:jc w:val="both"/>
      </w:pPr>
      <w:r>
        <w:rPr>
          <w:rFonts w:ascii="Arial" w:hAnsi="Arial" w:cs="Arial"/>
          <w:b w:val="0"/>
          <w:i w:val="0"/>
          <w:sz w:val="24"/>
        </w:rPr>
        <w:t>This project set out to prove that an organisation does not have to choose between protecting its employees' privacy and protecting itself from threats. Through the design, implementation, and rigorous adversarial testing of the SentriZK system, it has shown that the two goals can be reconciled by combining zero-knowledge authentication, the Signal Protocol, and on-device artificial intelligence in a single, low-cost application. All three project objectives were achieved: the relevant literature was analysed and its gap identified, a working integrated system was built, and that system was demonstrated to be both functionally complete and resilient against a comprehensive battery of real attacks. While the prototype has limitations that define a clear path for future work, it stands as evidence that privacy-preserving, intelligent, and affordable secure messaging is achievable on everyday consumer hardware, and as a practical blueprint for the secure communication tools that small and medium enterprises increasingly need.</w:t>
      </w:r>
    </w:p>
    <w:sectPr w:rsidR="00FC693F" w:rsidRPr="0006063C" w:rsidSect="00034616">
      <w:footerReference w:type="default" r:id="rId9"/>
      <w:pgSz w:w="11906" w:h="16838"/>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