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</w:tblBorders>
      </w:tblPr>
      <w:tblGrid>
        <w:gridCol w:w="4680"/>
        <w:gridCol w:w="4896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Vazirmatn" w:hAnsi="Vazirmatn" w:cs="Vazirmatn"/>
                <w:b/>
                <w:i w:val="0"/>
                <w:color w:val="046A38"/>
                <w:sz w:val="26"/>
              </w:rPr>
              <w:t>MARGINLIFT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00200" cy="5175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0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5175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80" w:line="300" w:lineRule="auto"/>
        <w:jc w:val="right"/>
        <w:keepNext w:val="0"/>
        <w:bidi w:val="1"/>
      </w:pPr>
    </w:p>
    <w:p>
      <w:pPr>
        <w:spacing w:before="0" w:after="40" w:line="300" w:lineRule="auto"/>
        <w:jc w:val="right"/>
        <w:keepNext/>
        <w:bidi w:val="1"/>
      </w:pPr>
      <w:r>
        <w:rPr>
          <w:rFonts w:ascii="Vazirmatn" w:hAnsi="Vazirmatn" w:cs="Vazirmatn"/>
          <w:b/>
          <w:i w:val="0"/>
          <w:color w:val="046A38"/>
          <w:sz w:val="17"/>
        </w:rPr>
        <w:t>پیشنهاد همکاری محصولی</w:t>
      </w:r>
    </w:p>
    <w:p>
      <w:pPr>
        <w:spacing w:before="0" w:after="240" w:line="264" w:lineRule="auto"/>
        <w:jc w:val="right"/>
        <w:keepNext w:val="0"/>
        <w:bidi w:val="1"/>
      </w:pPr>
      <w:r>
        <w:rPr>
          <w:rFonts w:ascii="Vazirmatn" w:hAnsi="Vazirmatn" w:cs="Vazirmatn"/>
          <w:b/>
          <w:i w:val="0"/>
          <w:color w:val="111A16"/>
          <w:sz w:val="56"/>
        </w:rPr>
        <w:t>از داده سازمانی</w:t>
        <w:br/>
        <w:t>تا تصمیم قابل‌اندازه‌گیری</w:t>
      </w:r>
    </w:p>
    <w:p>
      <w:pPr>
        <w:spacing w:before="0" w:after="440" w:line="324" w:lineRule="auto"/>
        <w:jc w:val="right"/>
        <w:keepNext w:val="0"/>
        <w:bidi w:val="1"/>
      </w:pPr>
      <w:r>
        <w:rPr>
          <w:rFonts w:ascii="Vazirmatn" w:hAnsi="Vazirmatn" w:cs="Vazirmatn"/>
          <w:b w:val="0"/>
          <w:i w:val="0"/>
          <w:color w:val="627068"/>
          <w:sz w:val="26"/>
        </w:rPr>
        <w:t>لایه تصمیم علّی برای نگهداشت مشتری و تخصیص هوشمند مشوق؛ مکمل محصولات هوش مصنوعی، هوش تجاری و تعامل‌پذیری چارگون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111A16"/>
          <w:left w:val="single" w:sz="0" w:color="111A16"/>
          <w:bottom w:val="single" w:sz="0" w:color="111A16"/>
          <w:right w:val="single" w:sz="0" w:color="111A16"/>
        </w:tblBorders>
        <w:bidiVisual/>
      </w:tblPr>
      <w:tblGrid>
        <w:gridCol w:w="9576"/>
      </w:tblGrid>
      <w:tr>
        <w:tc>
          <w:tcPr>
            <w:tcW w:type="dxa" w:w="9576"/>
            <w:shd w:fill="111A16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80"/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C4D600"/>
                <w:sz w:val="20"/>
              </w:rPr>
              <w:t>تز همکاری</w:t>
            </w:r>
          </w:p>
          <w:p>
            <w:pPr>
              <w:spacing w:before="0" w:after="0" w:line="300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24"/>
              </w:rPr>
              <w:t>چارگون داده و جریان کار سازمانی را یکپارچه می‌کند؛ مارجین‌لیفت این جریان را به اقدام و نتیجه مالی قابل‌سنجش متصل می‌کند.</w:t>
            </w:r>
          </w:p>
        </w:tc>
      </w:tr>
    </w:tbl>
    <w:p>
      <w:pPr>
        <w:spacing w:before="0" w:after="40" w:line="300" w:lineRule="auto"/>
        <w:jc w:val="right"/>
        <w:keepNext w:val="0"/>
        <w:bidi w:val="1"/>
      </w:pPr>
    </w:p>
    <w:p>
      <w:pPr>
        <w:spacing w:before="0" w:after="500" w:line="300" w:lineRule="auto"/>
        <w:jc w:val="right"/>
        <w:keepNext w:val="0"/>
        <w:bidi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color="D9E1DC"/>
          <w:left w:val="single" w:sz="5" w:color="D9E1DC"/>
          <w:bottom w:val="single" w:sz="5" w:color="D9E1DC"/>
          <w:right w:val="single" w:sz="5" w:color="D9E1DC"/>
          <w:insideH w:val="single" w:sz="5" w:color="D9E1DC"/>
          <w:insideV w:val="single" w:sz="5" w:color="D9E1DC"/>
        </w:tblBorders>
      </w:tblPr>
      <w:tblGrid>
        <w:gridCol w:w="4780"/>
        <w:gridCol w:w="4780"/>
      </w:tblGrid>
      <w:tr>
        <w:tc>
          <w:tcPr>
            <w:tcW w:type="dxa" w:w="4780"/>
            <w:shd w:fill="FFFFF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9"/>
              </w:rPr>
              <w:t>جناب آقای شاهین طبری</w:t>
              <w:br/>
              <w:t>بنیان‌گذار و رئیس هیئت‌مدیره چارگون</w:t>
            </w:r>
          </w:p>
        </w:tc>
        <w:tc>
          <w:tcPr>
            <w:tcW w:type="dxa" w:w="4780"/>
            <w:shd w:fill="EAF6EE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18"/>
              </w:rPr>
              <w:t>مخاطب</w:t>
            </w:r>
          </w:p>
        </w:tc>
      </w:tr>
      <w:tr>
        <w:tc>
          <w:tcPr>
            <w:tcW w:type="dxa" w:w="4780"/>
            <w:shd w:fill="FFFFF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9"/>
              </w:rPr>
              <w:t>پیشنهاد اولیه همکاری</w:t>
              <w:br/>
              <w:t>غیرالزام‌آور و محرمانه</w:t>
            </w:r>
          </w:p>
        </w:tc>
        <w:tc>
          <w:tcPr>
            <w:tcW w:type="dxa" w:w="4780"/>
            <w:shd w:fill="EAF6EE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18"/>
              </w:rPr>
              <w:t>نوع سند</w:t>
            </w:r>
          </w:p>
        </w:tc>
      </w:tr>
      <w:tr>
        <w:tc>
          <w:tcPr>
            <w:tcW w:type="dxa" w:w="4780"/>
            <w:shd w:fill="FFFFF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9"/>
              </w:rPr>
              <w:t>تیم مارجین‌لیفت</w:t>
              <w:br/>
              <w:t>marginlift.ir</w:t>
            </w:r>
          </w:p>
        </w:tc>
        <w:tc>
          <w:tcPr>
            <w:tcW w:type="dxa" w:w="4780"/>
            <w:shd w:fill="EAF6EE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18"/>
              </w:rPr>
              <w:t>تهیه‌کننده</w:t>
            </w:r>
          </w:p>
        </w:tc>
      </w:tr>
    </w:tbl>
    <w:p>
      <w:pPr>
        <w:spacing w:before="320" w:after="0" w:line="300" w:lineRule="auto"/>
        <w:jc w:val="center"/>
        <w:keepNext w:val="0"/>
        <w:bidi w:val="1"/>
      </w:pPr>
      <w:r>
        <w:rPr>
          <w:rFonts w:ascii="Vazirmatn" w:hAnsi="Vazirmatn" w:cs="Vazirmatn"/>
          <w:b w:val="0"/>
          <w:i w:val="0"/>
          <w:color w:val="627068"/>
          <w:sz w:val="18"/>
        </w:rPr>
        <w:t>مرداد ۱۴۰۵</w:t>
      </w:r>
    </w:p>
    <w:p>
      <w:r>
        <w:br w:type="page"/>
      </w:r>
    </w:p>
    <w:p>
      <w:pPr>
        <w:spacing w:before="0" w:after="40" w:line="300" w:lineRule="auto"/>
        <w:jc w:val="right"/>
        <w:keepNext/>
        <w:bidi w:val="1"/>
      </w:pPr>
      <w:r>
        <w:rPr>
          <w:rFonts w:ascii="Vazirmatn" w:hAnsi="Vazirmatn" w:cs="Vazirmatn"/>
          <w:b/>
          <w:i w:val="0"/>
          <w:color w:val="046A38"/>
          <w:sz w:val="17"/>
        </w:rPr>
        <w:t>خطاب مدیریتی</w:t>
      </w:r>
    </w:p>
    <w:p>
      <w:pPr>
        <w:pStyle w:val="Heading1"/>
        <w:jc w:val="right"/>
        <w:pageBreakBefore w:val="0"/>
        <w:bidi w:val="1"/>
      </w:pPr>
      <w:r>
        <w:rPr>
          <w:rFonts w:ascii="Vazirmatn" w:hAnsi="Vazirmatn" w:cs="Vazirmatn"/>
          <w:b/>
          <w:i w:val="0"/>
          <w:color w:val="046A38"/>
          <w:sz w:val="38"/>
        </w:rPr>
        <w:t>پیشنهاد در یک نگاه</w:t>
      </w:r>
    </w:p>
    <w:p>
      <w:pPr>
        <w:spacing w:before="0" w:after="140" w:line="300" w:lineRule="auto"/>
        <w:jc w:val="right"/>
        <w:keepNext w:val="0"/>
        <w:bidi w:val="1"/>
      </w:pPr>
      <w:r>
        <w:rPr>
          <w:rFonts w:ascii="Vazirmatn" w:hAnsi="Vazirmatn" w:cs="Vazirmatn"/>
          <w:b/>
          <w:i w:val="0"/>
          <w:color w:val="111A16"/>
          <w:sz w:val="23"/>
        </w:rPr>
        <w:t>جناب آقای طبری،</w:t>
      </w:r>
    </w:p>
    <w:p>
      <w:pPr>
        <w:spacing w:before="0" w:after="180" w:line="324" w:lineRule="auto"/>
        <w:jc w:val="right"/>
        <w:keepNext w:val="0"/>
        <w:bidi w:val="1"/>
      </w:pPr>
      <w:r>
        <w:rPr>
          <w:rFonts w:ascii="Vazirmatn" w:hAnsi="Vazirmatn" w:cs="Vazirmatn"/>
          <w:b w:val="0"/>
          <w:i w:val="0"/>
          <w:color w:val="111A16"/>
          <w:sz w:val="22"/>
        </w:rPr>
        <w:t>چارگون طی بیش از دو دهه، پیچیدگی نرم‌افزار سازمانی را به سامانه‌های یکپارچه، امن و قابل اتکا تبدیل کرده است. مسیر جدید این شرکت نیز روشن است: تجربه انسانی‌تر، هوش مصنوعی درون‌سازمانی، تعامل‌پذیری و همکاری با محصولات مکمل.</w:t>
      </w:r>
    </w:p>
    <w:p>
      <w:pPr>
        <w:spacing w:before="0" w:after="180" w:line="324" w:lineRule="auto"/>
        <w:jc w:val="right"/>
        <w:keepNext w:val="0"/>
        <w:bidi w:val="1"/>
      </w:pPr>
      <w:r>
        <w:rPr>
          <w:rFonts w:ascii="Vazirmatn" w:hAnsi="Vazirmatn" w:cs="Vazirmatn"/>
          <w:b w:val="0"/>
          <w:i w:val="0"/>
          <w:color w:val="111A16"/>
          <w:sz w:val="22"/>
        </w:rPr>
        <w:t>پیشنهاد مارجین‌لیفت افزودن یک داشبورد دیگر نیست. پیشنهاد ما، یک لایه تخصصی برای تصمیم‌های نگهداشت مشتری است: چه کسی در معرض ریزش است، برای چه کسی اقدام واقعاً رفتار را تغییر می‌دهد، چه نوع اقدام یا مشوقی اقتصادی است و نتیجه چگونه با گروه کنترل سنجیده می‌شود.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AF6EE"/>
          <w:left w:val="single" w:sz="0" w:color="EAF6EE"/>
          <w:bottom w:val="single" w:sz="0" w:color="EAF6EE"/>
          <w:right w:val="single" w:sz="0" w:color="EAF6EE"/>
        </w:tblBorders>
        <w:bidiVisual/>
      </w:tblPr>
      <w:tblGrid>
        <w:gridCol w:w="9576"/>
      </w:tblGrid>
      <w:tr>
        <w:tc>
          <w:tcPr>
            <w:tcW w:type="dxa" w:w="9576"/>
            <w:shd w:fill="EAF6EE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80"/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20"/>
              </w:rPr>
              <w:t>پیشنهاد تصمیم</w:t>
            </w:r>
          </w:p>
          <w:p>
            <w:pPr>
              <w:spacing w:before="0" w:after="0" w:line="300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/>
                <w:i w:val="0"/>
                <w:color w:val="111A16"/>
                <w:sz w:val="24"/>
              </w:rPr>
              <w:t>یک پایلوت هم‌برند با یک مشتری مناسب چارگون؛ ابتدا ارزیابی داده، سپس اجرای کنترل‌شده و در پایان تصمیم شفاف برای توسعه، بازبینی یا توقف.</w:t>
            </w:r>
          </w:p>
        </w:tc>
      </w:tr>
    </w:tbl>
    <w:p>
      <w:pPr>
        <w:spacing w:before="0" w:after="40" w:line="300" w:lineRule="auto"/>
        <w:jc w:val="right"/>
        <w:keepNext w:val="0"/>
        <w:bidi w:val="1"/>
      </w:pPr>
    </w:p>
    <w:p>
      <w:pPr>
        <w:pStyle w:val="Heading2"/>
        <w:jc w:val="right"/>
        <w:bidi w:val="1"/>
      </w:pPr>
      <w:r>
        <w:rPr>
          <w:rFonts w:ascii="Vazirmatn" w:hAnsi="Vazirmatn" w:cs="Vazirmatn"/>
          <w:b/>
          <w:i w:val="0"/>
          <w:color w:val="111A16"/>
          <w:sz w:val="27"/>
        </w:rPr>
        <w:t>آنچه در این مرحله درخواست می‌کنیم</w:t>
      </w:r>
    </w:p>
    <w:p>
      <w:pPr>
        <w:pStyle w:val="ListBullet"/>
        <w:spacing w:after="80" w:line="283" w:lineRule="auto"/>
        <w:ind w:left="173" w:right="346"/>
        <w:jc w:val="right"/>
        <w:bidi w:val="1"/>
      </w:pPr>
      <w:r>
        <w:rPr>
          <w:rFonts w:ascii="Vazirmatn" w:hAnsi="Vazirmatn" w:cs="Vazirmatn"/>
          <w:b w:val="0"/>
          <w:i w:val="0"/>
          <w:color w:val="111A16"/>
          <w:sz w:val="20"/>
        </w:rPr>
        <w:t>یک جلسه ۶۰ دقیقه‌ای با حضور نمایندگان محصول، آسا، هوش تجاری، تعامل‌پذیری و امنیت.</w:t>
      </w:r>
    </w:p>
    <w:p>
      <w:pPr>
        <w:pStyle w:val="ListBullet"/>
        <w:spacing w:after="80" w:line="283" w:lineRule="auto"/>
        <w:ind w:left="173" w:right="346"/>
        <w:jc w:val="right"/>
        <w:bidi w:val="1"/>
      </w:pPr>
      <w:r>
        <w:rPr>
          <w:rFonts w:ascii="Vazirmatn" w:hAnsi="Vazirmatn" w:cs="Vazirmatn"/>
          <w:b w:val="0"/>
          <w:i w:val="0"/>
          <w:color w:val="111A16"/>
          <w:sz w:val="20"/>
        </w:rPr>
        <w:t>انتخاب یک مشتری با خرید تکرارشونده، هزینه اقدام مشخص و مالک KPI روشن.</w:t>
      </w:r>
    </w:p>
    <w:p>
      <w:pPr>
        <w:pStyle w:val="ListBullet"/>
        <w:spacing w:after="80" w:line="283" w:lineRule="auto"/>
        <w:ind w:left="173" w:right="346"/>
        <w:jc w:val="right"/>
        <w:bidi w:val="1"/>
      </w:pPr>
      <w:r>
        <w:rPr>
          <w:rFonts w:ascii="Vazirmatn" w:hAnsi="Vazirmatn" w:cs="Vazirmatn"/>
          <w:b w:val="0"/>
          <w:i w:val="0"/>
          <w:color w:val="111A16"/>
          <w:sz w:val="20"/>
        </w:rPr>
        <w:t>توافق روی قرارداد حداقلی داده و معیار موفقیت پیش از هرگونه توسعه اختصاصی.</w:t>
      </w:r>
    </w:p>
    <w:p>
      <w:pPr>
        <w:spacing w:before="160" w:after="0" w:line="300" w:lineRule="auto"/>
        <w:jc w:val="right"/>
        <w:keepNext w:val="0"/>
        <w:bidi w:val="1"/>
      </w:pPr>
      <w:r>
        <w:rPr>
          <w:rFonts w:ascii="Vazirmatn" w:hAnsi="Vazirmatn" w:cs="Vazirmatn"/>
          <w:b w:val="0"/>
          <w:i/>
          <w:color w:val="627068"/>
          <w:sz w:val="21"/>
        </w:rPr>
        <w:t>این مسیر عمداً کم‌ریسک طراحی شده است: تا زمانی که داده و نتیجه واقعی، ارزش را اثبات نکنند، پیشنهاد توسعه ماژول یا همکاری تجاری بلندمدت مطرح نمی‌شود.</w:t>
      </w:r>
    </w:p>
    <w:p>
      <w:r>
        <w:br w:type="page"/>
      </w:r>
    </w:p>
    <w:p>
      <w:pPr>
        <w:spacing w:before="0" w:after="40" w:line="300" w:lineRule="auto"/>
        <w:jc w:val="right"/>
        <w:keepNext/>
        <w:bidi w:val="1"/>
      </w:pPr>
      <w:r>
        <w:rPr>
          <w:rFonts w:ascii="Vazirmatn" w:hAnsi="Vazirmatn" w:cs="Vazirmatn"/>
          <w:b/>
          <w:i w:val="0"/>
          <w:color w:val="046A38"/>
          <w:sz w:val="17"/>
        </w:rPr>
        <w:t>هم‌راستایی راهبردی</w:t>
      </w:r>
    </w:p>
    <w:p>
      <w:pPr>
        <w:pStyle w:val="Heading1"/>
        <w:jc w:val="right"/>
        <w:pageBreakBefore w:val="0"/>
        <w:bidi w:val="1"/>
      </w:pPr>
      <w:r>
        <w:rPr>
          <w:rFonts w:ascii="Vazirmatn" w:hAnsi="Vazirmatn" w:cs="Vazirmatn"/>
          <w:b/>
          <w:i w:val="0"/>
          <w:color w:val="046A38"/>
          <w:sz w:val="38"/>
        </w:rPr>
        <w:t>چرا این همکاری برای چارگون معنا دارد؟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6" w:color="D9E1DC"/>
          <w:left w:val="single" w:sz="6" w:color="D9E1DC"/>
          <w:bottom w:val="single" w:sz="6" w:color="D9E1DC"/>
          <w:right w:val="single" w:sz="6" w:color="D9E1DC"/>
          <w:insideH w:val="single" w:sz="6" w:color="D9E1DC"/>
          <w:insideV w:val="single" w:sz="6" w:color="D9E1DC"/>
        </w:tblBorders>
      </w:tblPr>
      <w:tblGrid>
        <w:gridCol w:w="4989"/>
        <w:gridCol w:w="4989"/>
      </w:tblGrid>
      <w:tr>
        <w:tc>
          <w:tcPr>
            <w:tcW w:type="dxa" w:w="4752"/>
            <w:tcMar>
              <w:top w:w="170" w:type="dxa"/>
              <w:start w:w="180" w:type="dxa"/>
              <w:bottom w:w="170" w:type="dxa"/>
              <w:end w:w="180" w:type="dxa"/>
            </w:tcMar>
            <w:shd w:fill="111A16"/>
          </w:tcPr>
          <w:p>
            <w:pPr>
              <w:spacing w:after="100"/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25"/>
              </w:rPr>
              <w:t>آسا و هوش مصنوعی محلی</w:t>
            </w:r>
          </w:p>
          <w:p>
            <w:pPr>
              <w:spacing w:before="0" w:after="0" w:line="283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DCE5E0"/>
                <w:sz w:val="19"/>
              </w:rPr>
              <w:t>آسا بر تحلیل داده سازمانی، معماری ماژولار و حفظ داده داخل سازمان تأکید دارد. مارجین‌لیفت می‌تواند به‌صورت یک سرویس تخصصی کنار این معماری قرار گیرد.</w:t>
            </w:r>
          </w:p>
        </w:tc>
        <w:tc>
          <w:tcPr>
            <w:tcW w:type="dxa" w:w="4752"/>
            <w:tcMar>
              <w:top w:w="170" w:type="dxa"/>
              <w:start w:w="180" w:type="dxa"/>
              <w:bottom w:w="170" w:type="dxa"/>
              <w:end w:w="180" w:type="dxa"/>
            </w:tcMar>
            <w:shd w:fill="FFFFFF"/>
          </w:tcPr>
          <w:p>
            <w:pPr>
              <w:spacing w:after="100"/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25"/>
              </w:rPr>
              <w:t>هوش تجاری و تصمیم‌سازی</w:t>
            </w:r>
          </w:p>
          <w:p>
            <w:pPr>
              <w:spacing w:before="0" w:after="0" w:line="283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627068"/>
                <w:sz w:val="19"/>
              </w:rPr>
              <w:t>هوش تجاری چارگون فاصله داده تا بینش را کم می‌کند. مارجین‌لیفت مرحله بعد را هدف می‌گیرد: تصمیم اقدام، هزینه مجاز و اندازه‌گیری نتیجه افزایشی.</w:t>
            </w:r>
          </w:p>
        </w:tc>
      </w:tr>
      <w:tr>
        <w:tc>
          <w:tcPr>
            <w:tcW w:type="dxa" w:w="4752"/>
            <w:tcMar>
              <w:top w:w="170" w:type="dxa"/>
              <w:start w:w="180" w:type="dxa"/>
              <w:bottom w:w="170" w:type="dxa"/>
              <w:end w:w="180" w:type="dxa"/>
            </w:tcMar>
            <w:shd w:fill="FFFFFF"/>
          </w:tcPr>
          <w:p>
            <w:pPr>
              <w:spacing w:after="100"/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25"/>
              </w:rPr>
              <w:t>تعامل‌پذیری</w:t>
            </w:r>
          </w:p>
          <w:p>
            <w:pPr>
              <w:spacing w:before="0" w:after="0" w:line="283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627068"/>
                <w:sz w:val="19"/>
              </w:rPr>
              <w:t>رابط‌های مستند چارگون، اتصال امن سامانه‌های تراکنش، وفاداری یا ارتباط با مشتری را ممکن می‌کنند؛ بدون ورود دستی و بدون ساخت جزیره جدید.</w:t>
            </w:r>
          </w:p>
        </w:tc>
        <w:tc>
          <w:tcPr>
            <w:tcW w:type="dxa" w:w="4752"/>
            <w:tcMar>
              <w:top w:w="170" w:type="dxa"/>
              <w:start w:w="180" w:type="dxa"/>
              <w:bottom w:w="170" w:type="dxa"/>
              <w:end w:w="180" w:type="dxa"/>
            </w:tcMar>
            <w:shd w:fill="FFFFFF"/>
          </w:tcPr>
          <w:p>
            <w:pPr>
              <w:spacing w:after="100"/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25"/>
              </w:rPr>
              <w:t>انسان‌به‌انسان و بازارگاه</w:t>
            </w:r>
          </w:p>
          <w:p>
            <w:pPr>
              <w:spacing w:before="0" w:after="0" w:line="283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627068"/>
                <w:sz w:val="19"/>
              </w:rPr>
              <w:t>تجربه انسانی‌تر یعنی تماس و مشوق کمتر اما مرتبط‌تر. چشم‌انداز همکاری با محصولات مکمل نیز مسیر عرضه مشترک را باز می‌گذارد.</w:t>
            </w:r>
          </w:p>
        </w:tc>
      </w:tr>
    </w:tbl>
    <w:p>
      <w:pPr>
        <w:spacing w:before="0" w:after="40" w:line="300" w:lineRule="auto"/>
        <w:jc w:val="right"/>
        <w:keepNext w:val="0"/>
        <w:bidi w:val="1"/>
      </w:pPr>
    </w:p>
    <w:p>
      <w:pPr>
        <w:pStyle w:val="Heading2"/>
        <w:jc w:val="right"/>
        <w:bidi w:val="1"/>
      </w:pPr>
      <w:r>
        <w:rPr>
          <w:rFonts w:ascii="Vazirmatn" w:hAnsi="Vazirmatn" w:cs="Vazirmatn"/>
          <w:b/>
          <w:i w:val="0"/>
          <w:color w:val="111A16"/>
          <w:sz w:val="27"/>
        </w:rPr>
        <w:t>نتیجه تحقیق</w:t>
      </w:r>
    </w:p>
    <w:p>
      <w:pPr>
        <w:spacing w:before="0" w:after="120" w:line="324" w:lineRule="auto"/>
        <w:jc w:val="right"/>
        <w:keepNext w:val="0"/>
        <w:bidi w:val="1"/>
      </w:pPr>
      <w:r>
        <w:rPr>
          <w:rFonts w:ascii="Vazirmatn" w:hAnsi="Vazirmatn" w:cs="Vazirmatn"/>
          <w:b/>
          <w:i w:val="0"/>
          <w:color w:val="111A16"/>
          <w:sz w:val="22"/>
        </w:rPr>
        <w:t>چارگون همین امروز هوش مصنوعی، هوش تجاری و تعامل‌پذیری دارد؛ بنابراین جایگاه صحیح مارجین‌لیفت «رقیب تحلیلی» نیست. جایگاه درست، یک موتور تصمیم تخصصی و قابل‌سنجش برای مسائل درآمدی و نگهداشت مشتری است که می‌تواند در آینده به‌عنوان قابلیت مکمل در اکوسیستم چارگون عرضه شود.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5E7"/>
          <w:left w:val="single" w:sz="0" w:color="FFF5E7"/>
          <w:bottom w:val="single" w:sz="0" w:color="FFF5E7"/>
          <w:right w:val="single" w:sz="0" w:color="FFF5E7"/>
        </w:tblBorders>
        <w:bidiVisual/>
      </w:tblPr>
      <w:tblGrid>
        <w:gridCol w:w="9576"/>
      </w:tblGrid>
      <w:tr>
        <w:tc>
          <w:tcPr>
            <w:tcW w:type="dxa" w:w="9576"/>
            <w:shd w:fill="FFF5E7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80"/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B36B00"/>
                <w:sz w:val="20"/>
              </w:rPr>
              <w:t>حساسیت مهم</w:t>
            </w:r>
          </w:p>
          <w:p>
            <w:pPr>
              <w:spacing w:before="0" w:after="0" w:line="300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/>
                <w:i w:val="0"/>
                <w:color w:val="111A16"/>
                <w:sz w:val="24"/>
              </w:rPr>
              <w:t>سایت رسمی چارگون، سامانه ارتباط با مشتری را به‌عنوان محصول مستقل معرفی نمی‌کند. از این‌رو پایلوت باید بر داده‌های تراکنش و تعامل مشتری نهایی متکی باشد و از مسیر تعامل‌پذیری به سامانه‌های موجود متصل شود.</w:t>
            </w:r>
          </w:p>
        </w:tc>
      </w:tr>
    </w:tbl>
    <w:p>
      <w:pPr>
        <w:spacing w:before="0" w:after="40" w:line="300" w:lineRule="auto"/>
        <w:jc w:val="right"/>
        <w:keepNext w:val="0"/>
        <w:bidi w:val="1"/>
      </w:pPr>
    </w:p>
    <w:p>
      <w:r>
        <w:br w:type="page"/>
      </w:r>
    </w:p>
    <w:p>
      <w:pPr>
        <w:spacing w:before="0" w:after="40" w:line="300" w:lineRule="auto"/>
        <w:jc w:val="right"/>
        <w:keepNext/>
        <w:bidi w:val="1"/>
      </w:pPr>
      <w:r>
        <w:rPr>
          <w:rFonts w:ascii="Vazirmatn" w:hAnsi="Vazirmatn" w:cs="Vazirmatn"/>
          <w:b/>
          <w:i w:val="0"/>
          <w:color w:val="046A38"/>
          <w:sz w:val="17"/>
        </w:rPr>
        <w:t>فرصت محصولی</w:t>
      </w:r>
    </w:p>
    <w:p>
      <w:pPr>
        <w:pStyle w:val="Heading1"/>
        <w:jc w:val="right"/>
        <w:pageBreakBefore w:val="0"/>
        <w:bidi w:val="1"/>
      </w:pPr>
      <w:r>
        <w:rPr>
          <w:rFonts w:ascii="Vazirmatn" w:hAnsi="Vazirmatn" w:cs="Vazirmatn"/>
          <w:b/>
          <w:i w:val="0"/>
          <w:color w:val="046A38"/>
          <w:sz w:val="38"/>
        </w:rPr>
        <w:t>ریسک بالا، مجوز تخفیف نیست</w:t>
      </w:r>
    </w:p>
    <w:p>
      <w:pPr>
        <w:spacing w:before="0" w:after="200" w:line="324" w:lineRule="auto"/>
        <w:jc w:val="right"/>
        <w:keepNext w:val="0"/>
        <w:bidi w:val="1"/>
      </w:pPr>
      <w:r>
        <w:rPr>
          <w:rFonts w:ascii="Vazirmatn" w:hAnsi="Vazirmatn" w:cs="Vazirmatn"/>
          <w:b w:val="0"/>
          <w:i w:val="0"/>
          <w:color w:val="111A16"/>
          <w:sz w:val="22"/>
        </w:rPr>
        <w:t>بسیاری از سامانه‌ها می‌توانند مشتری در معرض ریزش را پیش‌بینی کنند. اما یک مدیر درآمد باید به سؤال سخت‌تری پاسخ دهد: «کدام اقدام، برای کدام مشتری، واقعاً نتیجه را تغییر می‌دهد و آیا هزینه آن توجیه دارد؟»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6" w:color="D9E1DC"/>
          <w:left w:val="single" w:sz="6" w:color="D9E1DC"/>
          <w:bottom w:val="single" w:sz="6" w:color="D9E1DC"/>
          <w:right w:val="single" w:sz="6" w:color="D9E1DC"/>
          <w:insideH w:val="single" w:sz="6" w:color="D9E1DC"/>
          <w:insideV w:val="single" w:sz="6" w:color="D9E1DC"/>
        </w:tblBorders>
      </w:tblPr>
      <w:tblGrid>
        <w:gridCol w:w="3096"/>
        <w:gridCol w:w="2951"/>
        <w:gridCol w:w="3528"/>
      </w:tblGrid>
      <w:tr>
        <w:tc>
          <w:tcPr>
            <w:tcW w:type="dxa" w:w="3096"/>
            <w:shd w:fill="111A16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</w:rPr>
              <w:t>تصمیم پیشنهادی</w:t>
            </w:r>
          </w:p>
        </w:tc>
        <w:tc>
          <w:tcPr>
            <w:tcW w:type="dxa" w:w="2951"/>
            <w:shd w:fill="111A16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</w:rPr>
              <w:t>رفتار محتمل</w:t>
            </w:r>
          </w:p>
        </w:tc>
        <w:tc>
          <w:tcPr>
            <w:tcW w:type="dxa" w:w="3528"/>
            <w:shd w:fill="111A16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</w:rPr>
              <w:t>گروه مشتری</w:t>
            </w:r>
          </w:p>
        </w:tc>
      </w:tr>
      <w:tr>
        <w:tc>
          <w:tcPr>
            <w:tcW w:type="dxa" w:w="3096"/>
            <w:shd w:fill="EAF6EE"/>
            <w:tcMar>
              <w:top w:w="125" w:type="dxa"/>
              <w:start w:w="135" w:type="dxa"/>
              <w:bottom w:w="125" w:type="dxa"/>
              <w:end w:w="135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8"/>
              </w:rPr>
              <w:t>عدم اقدام؛ حفظ تجربه</w:t>
            </w:r>
          </w:p>
        </w:tc>
        <w:tc>
          <w:tcPr>
            <w:tcW w:type="dxa" w:w="2951"/>
            <w:shd w:fill="EAF6EE"/>
            <w:tcMar>
              <w:top w:w="125" w:type="dxa"/>
              <w:start w:w="135" w:type="dxa"/>
              <w:bottom w:w="125" w:type="dxa"/>
              <w:end w:w="135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8"/>
              </w:rPr>
              <w:t>بدون مشوق می‌ماند</w:t>
            </w:r>
          </w:p>
        </w:tc>
        <w:tc>
          <w:tcPr>
            <w:tcW w:type="dxa" w:w="3528"/>
            <w:shd w:fill="EAF6EE"/>
            <w:tcMar>
              <w:top w:w="125" w:type="dxa"/>
              <w:start w:w="135" w:type="dxa"/>
              <w:bottom w:w="125" w:type="dxa"/>
              <w:end w:w="135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111A16"/>
                <w:sz w:val="18"/>
              </w:rPr>
              <w:t>خودبازگشت</w:t>
            </w:r>
          </w:p>
        </w:tc>
      </w:tr>
      <w:tr>
        <w:tc>
          <w:tcPr>
            <w:tcW w:type="dxa" w:w="3096"/>
            <w:shd w:fill="FFFFFF"/>
            <w:tcMar>
              <w:top w:w="125" w:type="dxa"/>
              <w:start w:w="135" w:type="dxa"/>
              <w:bottom w:w="125" w:type="dxa"/>
              <w:end w:w="135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8"/>
              </w:rPr>
              <w:t>اقدام هدفمند</w:t>
            </w:r>
          </w:p>
        </w:tc>
        <w:tc>
          <w:tcPr>
            <w:tcW w:type="dxa" w:w="2951"/>
            <w:shd w:fill="FFFFFF"/>
            <w:tcMar>
              <w:top w:w="125" w:type="dxa"/>
              <w:start w:w="135" w:type="dxa"/>
              <w:bottom w:w="125" w:type="dxa"/>
              <w:end w:w="135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8"/>
              </w:rPr>
              <w:t>فقط با اقدام تغییر می‌کند</w:t>
            </w:r>
          </w:p>
        </w:tc>
        <w:tc>
          <w:tcPr>
            <w:tcW w:type="dxa" w:w="3528"/>
            <w:shd w:fill="FFFFFF"/>
            <w:tcMar>
              <w:top w:w="125" w:type="dxa"/>
              <w:start w:w="135" w:type="dxa"/>
              <w:bottom w:w="125" w:type="dxa"/>
              <w:end w:w="135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111A16"/>
                <w:sz w:val="18"/>
              </w:rPr>
              <w:t>حساس به اقدام</w:t>
            </w:r>
          </w:p>
        </w:tc>
      </w:tr>
      <w:tr>
        <w:tc>
          <w:tcPr>
            <w:tcW w:type="dxa" w:w="3096"/>
            <w:shd w:fill="EAF6EE"/>
            <w:tcMar>
              <w:top w:w="125" w:type="dxa"/>
              <w:start w:w="135" w:type="dxa"/>
              <w:bottom w:w="125" w:type="dxa"/>
              <w:end w:w="135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8"/>
              </w:rPr>
              <w:t>توقف هزینه و بررسی علت</w:t>
            </w:r>
          </w:p>
        </w:tc>
        <w:tc>
          <w:tcPr>
            <w:tcW w:type="dxa" w:w="2951"/>
            <w:shd w:fill="EAF6EE"/>
            <w:tcMar>
              <w:top w:w="125" w:type="dxa"/>
              <w:start w:w="135" w:type="dxa"/>
              <w:bottom w:w="125" w:type="dxa"/>
              <w:end w:w="135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8"/>
              </w:rPr>
              <w:t>حتی با مشوق بازنمی‌گردد</w:t>
            </w:r>
          </w:p>
        </w:tc>
        <w:tc>
          <w:tcPr>
            <w:tcW w:type="dxa" w:w="3528"/>
            <w:shd w:fill="EAF6EE"/>
            <w:tcMar>
              <w:top w:w="125" w:type="dxa"/>
              <w:start w:w="135" w:type="dxa"/>
              <w:bottom w:w="125" w:type="dxa"/>
              <w:end w:w="135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111A16"/>
                <w:sz w:val="18"/>
              </w:rPr>
              <w:t>مقاوم</w:t>
            </w:r>
          </w:p>
        </w:tc>
      </w:tr>
      <w:tr>
        <w:tc>
          <w:tcPr>
            <w:tcW w:type="dxa" w:w="3096"/>
            <w:shd w:fill="FFFFFF"/>
            <w:tcMar>
              <w:top w:w="125" w:type="dxa"/>
              <w:start w:w="135" w:type="dxa"/>
              <w:bottom w:w="125" w:type="dxa"/>
              <w:end w:w="135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8"/>
              </w:rPr>
              <w:t>محدودسازی تماس</w:t>
            </w:r>
          </w:p>
        </w:tc>
        <w:tc>
          <w:tcPr>
            <w:tcW w:type="dxa" w:w="2951"/>
            <w:shd w:fill="FFFFFF"/>
            <w:tcMar>
              <w:top w:w="125" w:type="dxa"/>
              <w:start w:w="135" w:type="dxa"/>
              <w:bottom w:w="125" w:type="dxa"/>
              <w:end w:w="135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8"/>
              </w:rPr>
              <w:t>اقدام ممکن است بدتر کند</w:t>
            </w:r>
          </w:p>
        </w:tc>
        <w:tc>
          <w:tcPr>
            <w:tcW w:type="dxa" w:w="3528"/>
            <w:shd w:fill="FFFFFF"/>
            <w:tcMar>
              <w:top w:w="125" w:type="dxa"/>
              <w:start w:w="135" w:type="dxa"/>
              <w:bottom w:w="125" w:type="dxa"/>
              <w:end w:w="135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111A16"/>
                <w:sz w:val="18"/>
              </w:rPr>
              <w:t>واکنش منفی</w:t>
            </w:r>
          </w:p>
        </w:tc>
      </w:tr>
    </w:tbl>
    <w:p>
      <w:pPr>
        <w:spacing w:before="0" w:after="60" w:line="300" w:lineRule="auto"/>
        <w:jc w:val="right"/>
        <w:keepNext w:val="0"/>
        <w:bidi w:val="1"/>
      </w:pPr>
    </w:p>
    <w:p>
      <w:pPr>
        <w:pStyle w:val="Heading2"/>
        <w:jc w:val="right"/>
        <w:bidi w:val="1"/>
      </w:pPr>
      <w:r>
        <w:rPr>
          <w:rFonts w:ascii="Vazirmatn" w:hAnsi="Vazirmatn" w:cs="Vazirmatn"/>
          <w:b/>
          <w:i w:val="0"/>
          <w:color w:val="111A16"/>
          <w:sz w:val="27"/>
        </w:rPr>
        <w:t>مارجین‌لیفت چه چیزی اضافه می‌کند؟</w:t>
      </w:r>
    </w:p>
    <w:p>
      <w:pPr>
        <w:pStyle w:val="ListBullet"/>
        <w:spacing w:after="80" w:line="283" w:lineRule="auto"/>
        <w:ind w:left="173" w:right="346"/>
        <w:jc w:val="right"/>
        <w:bidi w:val="1"/>
      </w:pPr>
      <w:r>
        <w:rPr>
          <w:rFonts w:ascii="Vazirmatn" w:hAnsi="Vazirmatn" w:cs="Vazirmatn"/>
          <w:b w:val="0"/>
          <w:i w:val="0"/>
          <w:color w:val="111A16"/>
          <w:sz w:val="20"/>
        </w:rPr>
        <w:t>ممیزی آمادگی داده: آیا داده برای تحلیل علّی آماده است یا فقط تشخیص تاریخی ممکن است؟</w:t>
      </w:r>
    </w:p>
    <w:p>
      <w:pPr>
        <w:pStyle w:val="ListBullet"/>
        <w:spacing w:after="80" w:line="283" w:lineRule="auto"/>
        <w:ind w:left="173" w:right="346"/>
        <w:jc w:val="right"/>
        <w:bidi w:val="1"/>
      </w:pPr>
      <w:r>
        <w:rPr>
          <w:rFonts w:ascii="Vazirmatn" w:hAnsi="Vazirmatn" w:cs="Vazirmatn"/>
          <w:b w:val="0"/>
          <w:i w:val="0"/>
          <w:color w:val="111A16"/>
          <w:sz w:val="20"/>
        </w:rPr>
        <w:t>ریسک و زمان‌بندی: چه کسی در معرض ریزش است و چه زمانی باید اقدام کرد؟</w:t>
      </w:r>
    </w:p>
    <w:p>
      <w:pPr>
        <w:pStyle w:val="ListBullet"/>
        <w:spacing w:after="80" w:line="283" w:lineRule="auto"/>
        <w:ind w:left="173" w:right="346"/>
        <w:jc w:val="right"/>
        <w:bidi w:val="1"/>
      </w:pPr>
      <w:r>
        <w:rPr>
          <w:rFonts w:ascii="Vazirmatn" w:hAnsi="Vazirmatn" w:cs="Vazirmatn"/>
          <w:b w:val="0"/>
          <w:i w:val="0"/>
          <w:color w:val="111A16"/>
          <w:sz w:val="20"/>
        </w:rPr>
        <w:t>اثر افزایشی و سیاست اقدام: اقدام برای چه کسی ارزش دارد و سقف هزینه چقدر است؟</w:t>
      </w:r>
    </w:p>
    <w:p>
      <w:pPr>
        <w:pStyle w:val="ListBullet"/>
        <w:spacing w:after="80" w:line="283" w:lineRule="auto"/>
        <w:ind w:left="173" w:right="346"/>
        <w:jc w:val="right"/>
        <w:bidi w:val="1"/>
      </w:pPr>
      <w:r>
        <w:rPr>
          <w:rFonts w:ascii="Vazirmatn" w:hAnsi="Vazirmatn" w:cs="Vazirmatn"/>
          <w:b w:val="0"/>
          <w:i w:val="0"/>
          <w:color w:val="111A16"/>
          <w:sz w:val="20"/>
        </w:rPr>
        <w:t>حلقه نتیجه: مقایسه پیش‌بینی با واقعیت و تصمیم توسعه، بازبینی یا توقف.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111A16"/>
          <w:left w:val="single" w:sz="0" w:color="111A16"/>
          <w:bottom w:val="single" w:sz="0" w:color="111A16"/>
          <w:right w:val="single" w:sz="0" w:color="111A16"/>
        </w:tblBorders>
        <w:bidiVisual/>
      </w:tblPr>
      <w:tblGrid>
        <w:gridCol w:w="9576"/>
      </w:tblGrid>
      <w:tr>
        <w:tc>
          <w:tcPr>
            <w:tcW w:type="dxa" w:w="9576"/>
            <w:shd w:fill="111A16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80"/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C4D600"/>
                <w:sz w:val="20"/>
              </w:rPr>
              <w:t>تمایز روشن</w:t>
            </w:r>
          </w:p>
          <w:p>
            <w:pPr>
              <w:spacing w:before="0" w:after="0" w:line="300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24"/>
              </w:rPr>
              <w:t>مارجین‌لیفت جایگزین ارتباط با مشتری، مدیریت کمپین، آسا یا هوش تجاری نیست؛ لایه تصمیم اقتصادی و حلقه اثبات میان آن‌هاست.</w:t>
            </w:r>
          </w:p>
        </w:tc>
      </w:tr>
    </w:tbl>
    <w:p>
      <w:pPr>
        <w:spacing w:before="0" w:after="40" w:line="300" w:lineRule="auto"/>
        <w:jc w:val="right"/>
        <w:keepNext w:val="0"/>
        <w:bidi w:val="1"/>
      </w:pPr>
    </w:p>
    <w:p>
      <w:r>
        <w:br w:type="page"/>
      </w:r>
    </w:p>
    <w:p>
      <w:pPr>
        <w:spacing w:before="0" w:after="40" w:line="300" w:lineRule="auto"/>
        <w:jc w:val="right"/>
        <w:keepNext/>
        <w:bidi w:val="1"/>
      </w:pPr>
      <w:r>
        <w:rPr>
          <w:rFonts w:ascii="Vazirmatn" w:hAnsi="Vazirmatn" w:cs="Vazirmatn"/>
          <w:b/>
          <w:i w:val="0"/>
          <w:color w:val="046A38"/>
          <w:sz w:val="17"/>
        </w:rPr>
        <w:t>راهکار پیشنهادی</w:t>
      </w:r>
    </w:p>
    <w:p>
      <w:pPr>
        <w:pStyle w:val="Heading1"/>
        <w:jc w:val="right"/>
        <w:pageBreakBefore w:val="0"/>
        <w:bidi w:val="1"/>
      </w:pPr>
      <w:r>
        <w:rPr>
          <w:rFonts w:ascii="Vazirmatn" w:hAnsi="Vazirmatn" w:cs="Vazirmatn"/>
          <w:b/>
          <w:i w:val="0"/>
          <w:color w:val="046A38"/>
          <w:sz w:val="38"/>
        </w:rPr>
        <w:t>فضای تصمیم؛ از فایل خام تا گزارش نهایی مدیر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6" w:color="D9E1DC"/>
          <w:left w:val="single" w:sz="6" w:color="D9E1DC"/>
          <w:bottom w:val="single" w:sz="6" w:color="D9E1DC"/>
          <w:right w:val="single" w:sz="6" w:color="D9E1DC"/>
          <w:insideH w:val="single" w:sz="6" w:color="D9E1DC"/>
          <w:insideV w:val="single" w:sz="6" w:color="D9E1DC"/>
        </w:tblBorders>
      </w:tblPr>
      <w:tblGrid>
        <w:gridCol w:w="2390"/>
        <w:gridCol w:w="2390"/>
        <w:gridCol w:w="2390"/>
        <w:gridCol w:w="2390"/>
      </w:tblGrid>
      <w:tr>
        <w:tc>
          <w:tcPr>
            <w:tcW w:type="dxa" w:w="2390"/>
            <w:shd w:fill="EAF6EE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17"/>
              </w:rPr>
              <w:t>۰۱</w:t>
            </w:r>
          </w:p>
          <w:p>
            <w:pPr>
              <w:spacing w:before="0" w:after="80" w:line="300" w:lineRule="auto"/>
              <w:jc w:val="center"/>
              <w:keepNext w:val="0"/>
              <w:bidi w:val="1"/>
            </w:pPr>
            <w:r>
              <w:rPr>
                <w:rFonts w:ascii="Vazirmatn" w:hAnsi="Vazirmatn" w:cs="Vazirmatn"/>
                <w:b/>
                <w:i w:val="0"/>
                <w:color w:val="111A16"/>
                <w:sz w:val="21"/>
              </w:rPr>
              <w:t>ورودی امن</w:t>
            </w:r>
          </w:p>
          <w:p>
            <w:pPr>
              <w:spacing w:before="0" w:after="0" w:line="276" w:lineRule="auto"/>
              <w:jc w:val="center"/>
              <w:keepNext w:val="0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627068"/>
                <w:sz w:val="16"/>
              </w:rPr>
              <w:t>شناسه ناشناس و رویداد</w:t>
            </w:r>
          </w:p>
        </w:tc>
        <w:tc>
          <w:tcPr>
            <w:tcW w:type="dxa" w:w="2390"/>
            <w:shd w:fill="EAF6EE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17"/>
              </w:rPr>
              <w:t>۰۲</w:t>
            </w:r>
          </w:p>
          <w:p>
            <w:pPr>
              <w:spacing w:before="0" w:after="80" w:line="300" w:lineRule="auto"/>
              <w:jc w:val="center"/>
              <w:keepNext w:val="0"/>
              <w:bidi w:val="1"/>
            </w:pPr>
            <w:r>
              <w:rPr>
                <w:rFonts w:ascii="Vazirmatn" w:hAnsi="Vazirmatn" w:cs="Vazirmatn"/>
                <w:b/>
                <w:i w:val="0"/>
                <w:color w:val="111A16"/>
                <w:sz w:val="21"/>
              </w:rPr>
              <w:t>تحلیل و سیاست</w:t>
            </w:r>
          </w:p>
          <w:p>
            <w:pPr>
              <w:spacing w:before="0" w:after="0" w:line="276" w:lineRule="auto"/>
              <w:jc w:val="center"/>
              <w:keepNext w:val="0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627068"/>
                <w:sz w:val="16"/>
              </w:rPr>
              <w:t>ریسک، زمان و اقدام</w:t>
            </w:r>
          </w:p>
        </w:tc>
        <w:tc>
          <w:tcPr>
            <w:tcW w:type="dxa" w:w="2390"/>
            <w:shd w:fill="111A16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C4D600"/>
                <w:sz w:val="17"/>
              </w:rPr>
              <w:t>۰۳</w:t>
            </w:r>
          </w:p>
          <w:p>
            <w:pPr>
              <w:spacing w:before="0" w:after="80" w:line="300" w:lineRule="auto"/>
              <w:jc w:val="center"/>
              <w:keepNext w:val="0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21"/>
              </w:rPr>
              <w:t>اجرای کنترل</w:t>
            </w:r>
          </w:p>
          <w:p>
            <w:pPr>
              <w:spacing w:before="0" w:after="0" w:line="276" w:lineRule="auto"/>
              <w:jc w:val="center"/>
              <w:keepNext w:val="0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DCE5E0"/>
                <w:sz w:val="16"/>
              </w:rPr>
              <w:t>گروه کنترل و اقدام</w:t>
            </w:r>
          </w:p>
        </w:tc>
        <w:tc>
          <w:tcPr>
            <w:tcW w:type="dxa" w:w="2390"/>
            <w:shd w:fill="EAF6EE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17"/>
              </w:rPr>
              <w:t>۰۴</w:t>
            </w:r>
          </w:p>
          <w:p>
            <w:pPr>
              <w:spacing w:before="0" w:after="80" w:line="300" w:lineRule="auto"/>
              <w:jc w:val="center"/>
              <w:keepNext w:val="0"/>
              <w:bidi w:val="1"/>
            </w:pPr>
            <w:r>
              <w:rPr>
                <w:rFonts w:ascii="Vazirmatn" w:hAnsi="Vazirmatn" w:cs="Vazirmatn"/>
                <w:b/>
                <w:i w:val="0"/>
                <w:color w:val="111A16"/>
                <w:sz w:val="21"/>
              </w:rPr>
              <w:t>گزارش نتیجه</w:t>
            </w:r>
          </w:p>
          <w:p>
            <w:pPr>
              <w:spacing w:before="0" w:after="0" w:line="276" w:lineRule="auto"/>
              <w:jc w:val="center"/>
              <w:keepNext w:val="0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627068"/>
                <w:sz w:val="16"/>
              </w:rPr>
              <w:t>اثر افزایشی و بازده</w:t>
            </w:r>
          </w:p>
        </w:tc>
      </w:tr>
    </w:tbl>
    <w:p>
      <w:pPr>
        <w:spacing w:before="0" w:after="100" w:line="300" w:lineRule="auto"/>
        <w:jc w:val="right"/>
        <w:keepNext w:val="0"/>
        <w:bidi w:val="1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-retention-analysis-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  <w:keepNext w:val="0"/>
        <w:bidi w:val="1"/>
      </w:pPr>
      <w:r>
        <w:rPr>
          <w:rFonts w:ascii="Vazirmatn" w:hAnsi="Vazirmatn" w:cs="Vazirmatn"/>
          <w:b w:val="0"/>
          <w:i/>
          <w:color w:val="627068"/>
          <w:sz w:val="16"/>
        </w:rPr>
        <w:t>نمونه واقعی از فضای نگهداشت مارجین‌لیفت؛ داده نمایشی است و هیچ نتیجه مشتری واقعی ادعا نمی‌شود.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AF6EE"/>
          <w:left w:val="single" w:sz="0" w:color="EAF6EE"/>
          <w:bottom w:val="single" w:sz="0" w:color="EAF6EE"/>
          <w:right w:val="single" w:sz="0" w:color="EAF6EE"/>
        </w:tblBorders>
        <w:bidiVisual/>
      </w:tblPr>
      <w:tblGrid>
        <w:gridCol w:w="9576"/>
      </w:tblGrid>
      <w:tr>
        <w:tc>
          <w:tcPr>
            <w:tcW w:type="dxa" w:w="9576"/>
            <w:shd w:fill="EAF6EE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80"/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20"/>
              </w:rPr>
              <w:t>خروجی مدیر</w:t>
            </w:r>
          </w:p>
          <w:p>
            <w:pPr>
              <w:spacing w:before="0" w:after="0" w:line="300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/>
                <w:i w:val="0"/>
                <w:color w:val="111A16"/>
                <w:sz w:val="24"/>
              </w:rPr>
              <w:t>یک تصمیم روشن، عدد مالی با برچسب سطح شواهد، ریسک‌ها و اقدام بعدی؛ نه نمودارهای علمی بدون ترجمه اجرایی.</w:t>
            </w:r>
          </w:p>
        </w:tc>
      </w:tr>
    </w:tbl>
    <w:p>
      <w:pPr>
        <w:spacing w:before="0" w:after="40" w:line="300" w:lineRule="auto"/>
        <w:jc w:val="right"/>
        <w:keepNext w:val="0"/>
        <w:bidi w:val="1"/>
      </w:pPr>
    </w:p>
    <w:p>
      <w:r>
        <w:br w:type="page"/>
      </w:r>
    </w:p>
    <w:p>
      <w:pPr>
        <w:spacing w:before="0" w:after="40" w:line="300" w:lineRule="auto"/>
        <w:jc w:val="right"/>
        <w:keepNext/>
        <w:bidi w:val="1"/>
      </w:pPr>
      <w:r>
        <w:rPr>
          <w:rFonts w:ascii="Vazirmatn" w:hAnsi="Vazirmatn" w:cs="Vazirmatn"/>
          <w:b/>
          <w:i w:val="0"/>
          <w:color w:val="046A38"/>
          <w:sz w:val="17"/>
        </w:rPr>
        <w:t>طراحی پایلوت</w:t>
      </w:r>
    </w:p>
    <w:p>
      <w:pPr>
        <w:pStyle w:val="Heading1"/>
        <w:jc w:val="right"/>
        <w:pageBreakBefore w:val="0"/>
        <w:bidi w:val="1"/>
      </w:pPr>
      <w:r>
        <w:rPr>
          <w:rFonts w:ascii="Vazirmatn" w:hAnsi="Vazirmatn" w:cs="Vazirmatn"/>
          <w:b/>
          <w:i w:val="0"/>
          <w:color w:val="046A38"/>
          <w:sz w:val="38"/>
        </w:rPr>
        <w:t>مسیر ۶ تا ۱۰ هفته‌ای با ایستگاه‌های تصمیم روشن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6" w:color="D9E1DC"/>
          <w:left w:val="single" w:sz="6" w:color="D9E1DC"/>
          <w:bottom w:val="single" w:sz="6" w:color="D9E1DC"/>
          <w:right w:val="single" w:sz="6" w:color="D9E1DC"/>
          <w:insideH w:val="single" w:sz="6" w:color="D9E1DC"/>
          <w:insideV w:val="single" w:sz="6" w:color="D9E1DC"/>
        </w:tblBorders>
      </w:tblPr>
      <w:tblGrid>
        <w:gridCol w:w="1728"/>
        <w:gridCol w:w="2232"/>
        <w:gridCol w:w="3240"/>
        <w:gridCol w:w="2361"/>
      </w:tblGrid>
      <w:tr>
        <w:tc>
          <w:tcPr>
            <w:tcW w:type="dxa" w:w="1728"/>
            <w:shd w:fill="111A1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</w:rPr>
              <w:t>تصمیم</w:t>
            </w:r>
          </w:p>
        </w:tc>
        <w:tc>
          <w:tcPr>
            <w:tcW w:type="dxa" w:w="2232"/>
            <w:shd w:fill="111A1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</w:rPr>
              <w:t>زمان</w:t>
            </w:r>
          </w:p>
        </w:tc>
        <w:tc>
          <w:tcPr>
            <w:tcW w:type="dxa" w:w="3240"/>
            <w:shd w:fill="111A1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</w:rPr>
              <w:t>خروجی</w:t>
            </w:r>
          </w:p>
        </w:tc>
        <w:tc>
          <w:tcPr>
            <w:tcW w:type="dxa" w:w="2361"/>
            <w:shd w:fill="111A1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</w:rPr>
              <w:t>مرحله</w:t>
            </w:r>
          </w:p>
        </w:tc>
      </w:tr>
      <w:tr>
        <w:tc>
          <w:tcPr>
            <w:tcW w:type="dxa" w:w="1728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17"/>
              </w:rPr>
              <w:t>ادامه / اصلاح داده</w:t>
            </w:r>
          </w:p>
        </w:tc>
        <w:tc>
          <w:tcPr>
            <w:tcW w:type="dxa" w:w="2232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۱ تا ۲ هفته</w:t>
            </w:r>
          </w:p>
        </w:tc>
        <w:tc>
          <w:tcPr>
            <w:tcW w:type="dxa" w:w="3240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آمادگی داده، خط پایه و قرارداد نتیجه</w:t>
            </w:r>
          </w:p>
        </w:tc>
        <w:tc>
          <w:tcPr>
            <w:tcW w:type="dxa" w:w="2361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111A16"/>
                <w:sz w:val="17"/>
              </w:rPr>
              <w:t>آمادگی</w:t>
            </w:r>
          </w:p>
        </w:tc>
      </w:tr>
      <w:tr>
        <w:tc>
          <w:tcPr>
            <w:tcW w:type="dxa" w:w="172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17"/>
              </w:rPr>
              <w:t>تأیید سیاست</w:t>
            </w:r>
          </w:p>
        </w:tc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۱ تا ۲ هفته</w:t>
            </w:r>
          </w:p>
        </w:tc>
        <w:tc>
          <w:tcPr>
            <w:tcW w:type="dxa" w:w="32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گروه هدف، اقدام، هزینه مجاز و طراحی کنترل</w:t>
            </w:r>
          </w:p>
        </w:tc>
        <w:tc>
          <w:tcPr>
            <w:tcW w:type="dxa" w:w="2361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111A16"/>
                <w:sz w:val="17"/>
              </w:rPr>
              <w:t>طراحی</w:t>
            </w:r>
          </w:p>
        </w:tc>
      </w:tr>
      <w:tr>
        <w:tc>
          <w:tcPr>
            <w:tcW w:type="dxa" w:w="1728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17"/>
              </w:rPr>
              <w:t>ادامه / توقف موقت</w:t>
            </w:r>
          </w:p>
        </w:tc>
        <w:tc>
          <w:tcPr>
            <w:tcW w:type="dxa" w:w="2232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۲ تا ۶ هفته</w:t>
            </w:r>
          </w:p>
        </w:tc>
        <w:tc>
          <w:tcPr>
            <w:tcW w:type="dxa" w:w="3240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اجرای محدود، ثبت مواجهه و خط قرمزها</w:t>
            </w:r>
          </w:p>
        </w:tc>
        <w:tc>
          <w:tcPr>
            <w:tcW w:type="dxa" w:w="2361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111A16"/>
                <w:sz w:val="17"/>
              </w:rPr>
              <w:t>اجرا</w:t>
            </w:r>
          </w:p>
        </w:tc>
      </w:tr>
      <w:tr>
        <w:tc>
          <w:tcPr>
            <w:tcW w:type="dxa" w:w="172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17"/>
              </w:rPr>
              <w:t>توسعه / بازبینی / توقف</w:t>
            </w:r>
          </w:p>
        </w:tc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۳ روز</w:t>
            </w:r>
          </w:p>
        </w:tc>
        <w:tc>
          <w:tcPr>
            <w:tcW w:type="dxa" w:w="32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اثر افزایشی، بازده، ریسک و توصیه مدیریتی</w:t>
            </w:r>
          </w:p>
        </w:tc>
        <w:tc>
          <w:tcPr>
            <w:tcW w:type="dxa" w:w="2361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111A16"/>
                <w:sz w:val="17"/>
              </w:rPr>
              <w:t>گزارش</w:t>
            </w:r>
          </w:p>
        </w:tc>
      </w:tr>
    </w:tbl>
    <w:p>
      <w:pPr>
        <w:spacing w:before="0" w:after="80" w:line="300" w:lineRule="auto"/>
        <w:jc w:val="right"/>
        <w:keepNext w:val="0"/>
        <w:bidi w:val="1"/>
      </w:pPr>
    </w:p>
    <w:p>
      <w:pPr>
        <w:pStyle w:val="Heading2"/>
        <w:jc w:val="right"/>
        <w:bidi w:val="1"/>
      </w:pPr>
      <w:r>
        <w:rPr>
          <w:rFonts w:ascii="Vazirmatn" w:hAnsi="Vazirmatn" w:cs="Vazirmatn"/>
          <w:b/>
          <w:i w:val="0"/>
          <w:color w:val="111A16"/>
          <w:sz w:val="27"/>
        </w:rPr>
        <w:t>حداقل داده موردنیاز</w:t>
      </w:r>
    </w:p>
    <w:p>
      <w:pPr>
        <w:spacing w:before="0" w:after="120" w:line="312" w:lineRule="auto"/>
        <w:jc w:val="right"/>
        <w:keepNext w:val="0"/>
        <w:bidi w:val="1"/>
      </w:pPr>
      <w:r>
        <w:rPr>
          <w:rFonts w:ascii="Vazirmatn" w:hAnsi="Vazirmatn" w:cs="Vazirmatn"/>
          <w:b w:val="0"/>
          <w:i w:val="0"/>
          <w:color w:val="627068"/>
          <w:sz w:val="20"/>
        </w:rPr>
        <w:t>شناسه ناشناس مشتری، تاریخ رویداد یا تراکنش، محصول یا خدمت، درآمد یا حاشیه سود، هزینه اقدام یا مشوق، گروه کنترل و اقدام، ثبت مواجهه و نتیجه.</w:t>
      </w:r>
    </w:p>
    <w:p>
      <w:pPr>
        <w:pStyle w:val="Heading2"/>
        <w:jc w:val="right"/>
        <w:bidi w:val="1"/>
      </w:pPr>
      <w:r>
        <w:rPr>
          <w:rFonts w:ascii="Vazirmatn" w:hAnsi="Vazirmatn" w:cs="Vazirmatn"/>
          <w:b/>
          <w:i w:val="0"/>
          <w:color w:val="111A16"/>
          <w:sz w:val="27"/>
        </w:rPr>
        <w:t>قانون اعتماد</w:t>
      </w:r>
    </w:p>
    <w:p>
      <w:pPr>
        <w:pStyle w:val="ListBullet"/>
        <w:spacing w:after="80" w:line="283" w:lineRule="auto"/>
        <w:ind w:left="173" w:right="346"/>
        <w:jc w:val="right"/>
        <w:bidi w:val="1"/>
      </w:pPr>
      <w:r>
        <w:rPr>
          <w:rFonts w:ascii="Vazirmatn" w:hAnsi="Vazirmatn" w:cs="Vazirmatn"/>
          <w:b w:val="0"/>
          <w:i w:val="0"/>
          <w:color w:val="111A16"/>
          <w:sz w:val="20"/>
        </w:rPr>
        <w:t>بدون گروه کنترل سالم، خروجی فقط «برآورد تاریخی» است و ادعای علّی نمی‌شود.</w:t>
      </w:r>
    </w:p>
    <w:p>
      <w:pPr>
        <w:pStyle w:val="ListBullet"/>
        <w:spacing w:after="80" w:line="283" w:lineRule="auto"/>
        <w:ind w:left="173" w:right="346"/>
        <w:jc w:val="right"/>
        <w:bidi w:val="1"/>
      </w:pPr>
      <w:r>
        <w:rPr>
          <w:rFonts w:ascii="Vazirmatn" w:hAnsi="Vazirmatn" w:cs="Vazirmatn"/>
          <w:b w:val="0"/>
          <w:i w:val="0"/>
          <w:color w:val="111A16"/>
          <w:sz w:val="20"/>
        </w:rPr>
        <w:t>اگر نمونه، نسبت گروه‌ها یا پنجره نتیجه نامعتبر باشد، تصمیم به حالت نیازمند بازبینی می‌رود.</w:t>
      </w:r>
    </w:p>
    <w:p>
      <w:pPr>
        <w:pStyle w:val="ListBullet"/>
        <w:spacing w:after="80" w:line="283" w:lineRule="auto"/>
        <w:ind w:left="173" w:right="346"/>
        <w:jc w:val="right"/>
        <w:bidi w:val="1"/>
      </w:pPr>
      <w:r>
        <w:rPr>
          <w:rFonts w:ascii="Vazirmatn" w:hAnsi="Vazirmatn" w:cs="Vazirmatn"/>
          <w:b w:val="0"/>
          <w:i w:val="0"/>
          <w:color w:val="111A16"/>
          <w:sz w:val="20"/>
        </w:rPr>
        <w:t>هر عدد مالی با یکی از برچسب‌های برآورد تاریخی، برآورد پایلوت یا اثر افزایشی تأییدشده ارائه می‌شود.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5E7"/>
          <w:left w:val="single" w:sz="0" w:color="FFF5E7"/>
          <w:bottom w:val="single" w:sz="0" w:color="FFF5E7"/>
          <w:right w:val="single" w:sz="0" w:color="FFF5E7"/>
        </w:tblBorders>
        <w:bidiVisual/>
      </w:tblPr>
      <w:tblGrid>
        <w:gridCol w:w="9576"/>
      </w:tblGrid>
      <w:tr>
        <w:tc>
          <w:tcPr>
            <w:tcW w:type="dxa" w:w="9576"/>
            <w:shd w:fill="FFF5E7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80"/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B36B00"/>
                <w:sz w:val="20"/>
              </w:rPr>
              <w:t>تعریف موفقیت</w:t>
            </w:r>
          </w:p>
          <w:p>
            <w:pPr>
              <w:spacing w:before="0" w:after="0" w:line="300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/>
                <w:i w:val="0"/>
                <w:color w:val="111A16"/>
                <w:sz w:val="24"/>
              </w:rPr>
              <w:t>پایلوت موفق یعنی اثر افزایشی مثبت با خط قرمزهای سالم و امکان دفاع مالی؛ نه صرفاً دقت بالای مدل.</w:t>
            </w:r>
          </w:p>
        </w:tc>
      </w:tr>
    </w:tbl>
    <w:p>
      <w:pPr>
        <w:spacing w:before="0" w:after="40" w:line="300" w:lineRule="auto"/>
        <w:jc w:val="right"/>
        <w:keepNext w:val="0"/>
        <w:bidi w:val="1"/>
      </w:pPr>
    </w:p>
    <w:p>
      <w:r>
        <w:br w:type="page"/>
      </w:r>
    </w:p>
    <w:p>
      <w:pPr>
        <w:spacing w:before="0" w:after="40" w:line="300" w:lineRule="auto"/>
        <w:jc w:val="right"/>
        <w:keepNext/>
        <w:bidi w:val="1"/>
      </w:pPr>
      <w:r>
        <w:rPr>
          <w:rFonts w:ascii="Vazirmatn" w:hAnsi="Vazirmatn" w:cs="Vazirmatn"/>
          <w:b/>
          <w:i w:val="0"/>
          <w:color w:val="046A38"/>
          <w:sz w:val="17"/>
        </w:rPr>
        <w:t>سنجش نتیجه</w:t>
      </w:r>
    </w:p>
    <w:p>
      <w:pPr>
        <w:pStyle w:val="Heading1"/>
        <w:jc w:val="right"/>
        <w:pageBreakBefore w:val="0"/>
        <w:bidi w:val="1"/>
      </w:pPr>
      <w:r>
        <w:rPr>
          <w:rFonts w:ascii="Vazirmatn" w:hAnsi="Vazirmatn" w:cs="Vazirmatn"/>
          <w:b/>
          <w:i w:val="0"/>
          <w:color w:val="046A38"/>
          <w:sz w:val="38"/>
        </w:rPr>
        <w:t>گزارشی که مدیر مالی و مدیر بازاریابی هر دو می‌فهمند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6" w:color="D9E1DC"/>
          <w:left w:val="single" w:sz="6" w:color="D9E1DC"/>
          <w:bottom w:val="single" w:sz="6" w:color="D9E1DC"/>
          <w:right w:val="single" w:sz="6" w:color="D9E1DC"/>
          <w:insideH w:val="single" w:sz="6" w:color="D9E1DC"/>
          <w:insideV w:val="single" w:sz="6" w:color="D9E1DC"/>
        </w:tblBorders>
      </w:tblPr>
      <w:tblGrid>
        <w:gridCol w:w="3139"/>
        <w:gridCol w:w="3340"/>
        <w:gridCol w:w="3081"/>
      </w:tblGrid>
      <w:tr>
        <w:tc>
          <w:tcPr>
            <w:tcW w:type="dxa" w:w="3139"/>
            <w:shd w:fill="111A1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</w:rPr>
              <w:t>قاعده تصمیم</w:t>
            </w:r>
          </w:p>
        </w:tc>
        <w:tc>
          <w:tcPr>
            <w:tcW w:type="dxa" w:w="3340"/>
            <w:shd w:fill="111A1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</w:rPr>
              <w:t>معنای مدیریتی</w:t>
            </w:r>
          </w:p>
        </w:tc>
        <w:tc>
          <w:tcPr>
            <w:tcW w:type="dxa" w:w="3081"/>
            <w:shd w:fill="111A1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</w:rPr>
              <w:t>شاخص</w:t>
            </w:r>
          </w:p>
        </w:tc>
      </w:tr>
      <w:tr>
        <w:tc>
          <w:tcPr>
            <w:tcW w:type="dxa" w:w="3139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مثبت و فراتر از آستانه توافق‌شده</w:t>
            </w:r>
          </w:p>
        </w:tc>
        <w:tc>
          <w:tcPr>
            <w:tcW w:type="dxa" w:w="3340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سود واقعی ناشی از اقدام</w:t>
            </w:r>
          </w:p>
        </w:tc>
        <w:tc>
          <w:tcPr>
            <w:tcW w:type="dxa" w:w="3081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111A16"/>
                <w:sz w:val="17"/>
              </w:rPr>
              <w:t>سود افزایشی تأییدشده</w:t>
            </w:r>
          </w:p>
        </w:tc>
      </w:tr>
      <w:tr>
        <w:tc>
          <w:tcPr>
            <w:tcW w:type="dxa" w:w="3139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کمتر از baseline یا سقف بودجه</w:t>
            </w:r>
          </w:p>
        </w:tc>
        <w:tc>
          <w:tcPr>
            <w:tcW w:type="dxa" w:w="33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بخشی از مشوق که حذف یا بازتخصیص می‌شود</w:t>
            </w:r>
          </w:p>
        </w:tc>
        <w:tc>
          <w:tcPr>
            <w:tcW w:type="dxa" w:w="3081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111A16"/>
                <w:sz w:val="17"/>
              </w:rPr>
              <w:t>هزینه مشوق قابل حذف</w:t>
            </w:r>
          </w:p>
        </w:tc>
      </w:tr>
      <w:tr>
        <w:tc>
          <w:tcPr>
            <w:tcW w:type="dxa" w:w="3139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مثبت با ریسک کنترل‌شده</w:t>
            </w:r>
          </w:p>
        </w:tc>
        <w:tc>
          <w:tcPr>
            <w:tcW w:type="dxa" w:w="3340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بازده پایلوت پس از همه هزینه‌ها</w:t>
            </w:r>
          </w:p>
        </w:tc>
        <w:tc>
          <w:tcPr>
            <w:tcW w:type="dxa" w:w="3081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111A16"/>
                <w:sz w:val="17"/>
              </w:rPr>
              <w:t>بازده سرمایه‌گذاری پایلوت</w:t>
            </w:r>
          </w:p>
        </w:tc>
      </w:tr>
      <w:tr>
        <w:tc>
          <w:tcPr>
            <w:tcW w:type="dxa" w:w="3139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در محدوده خط قرمز</w:t>
            </w:r>
          </w:p>
        </w:tc>
        <w:tc>
          <w:tcPr>
            <w:tcW w:type="dxa" w:w="33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عدم آسیب به درآمد، رضایت یا گروه حساس</w:t>
            </w:r>
          </w:p>
        </w:tc>
        <w:tc>
          <w:tcPr>
            <w:tcW w:type="dxa" w:w="3081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111A16"/>
                <w:sz w:val="17"/>
              </w:rPr>
              <w:t>درآمد در معرض ریسک</w:t>
            </w:r>
          </w:p>
        </w:tc>
      </w:tr>
      <w:tr>
        <w:tc>
          <w:tcPr>
            <w:tcW w:type="dxa" w:w="3139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قابل توضیح و قابل بازبینی</w:t>
            </w:r>
          </w:p>
        </w:tc>
        <w:tc>
          <w:tcPr>
            <w:tcW w:type="dxa" w:w="3340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فاصله مدل با واقعیت و نیاز به اصلاح</w:t>
            </w:r>
          </w:p>
        </w:tc>
        <w:tc>
          <w:tcPr>
            <w:tcW w:type="dxa" w:w="3081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111A16"/>
                <w:sz w:val="17"/>
              </w:rPr>
              <w:t>شکاف پیش‌بینی/واقعیت</w:t>
            </w:r>
          </w:p>
        </w:tc>
      </w:tr>
    </w:tbl>
    <w:p>
      <w:pPr>
        <w:spacing w:before="0" w:after="100" w:line="300" w:lineRule="auto"/>
        <w:jc w:val="right"/>
        <w:keepNext w:val="0"/>
        <w:bidi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111A16"/>
          <w:left w:val="single" w:sz="0" w:color="111A16"/>
          <w:bottom w:val="single" w:sz="0" w:color="111A16"/>
          <w:right w:val="single" w:sz="0" w:color="111A16"/>
        </w:tblBorders>
        <w:bidiVisual/>
      </w:tblPr>
      <w:tblGrid>
        <w:gridCol w:w="9576"/>
      </w:tblGrid>
      <w:tr>
        <w:tc>
          <w:tcPr>
            <w:tcW w:type="dxa" w:w="9576"/>
            <w:shd w:fill="111A16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80"/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C4D600"/>
                <w:sz w:val="20"/>
              </w:rPr>
              <w:t>فرمول مالی</w:t>
            </w:r>
          </w:p>
          <w:p>
            <w:pPr>
              <w:spacing w:before="0" w:after="0" w:line="300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24"/>
              </w:rPr>
              <w:t>سود افزایشی تأییدشده = درآمد افزایشی × حاشیه سود - هزینه مشوق - هزینه کانال - هزینه اجرای پایلوت</w:t>
            </w:r>
          </w:p>
        </w:tc>
      </w:tr>
    </w:tbl>
    <w:p>
      <w:pPr>
        <w:spacing w:before="0" w:after="40" w:line="300" w:lineRule="auto"/>
        <w:jc w:val="right"/>
        <w:keepNext w:val="0"/>
        <w:bidi w:val="1"/>
      </w:pPr>
    </w:p>
    <w:p>
      <w:pPr>
        <w:pStyle w:val="Heading2"/>
        <w:jc w:val="right"/>
        <w:bidi w:val="1"/>
      </w:pPr>
      <w:r>
        <w:rPr>
          <w:rFonts w:ascii="Vazirmatn" w:hAnsi="Vazirmatn" w:cs="Vazirmatn"/>
          <w:b/>
          <w:i w:val="0"/>
          <w:color w:val="111A16"/>
          <w:sz w:val="27"/>
        </w:rPr>
        <w:t>خروجی نهایی</w:t>
      </w:r>
    </w:p>
    <w:p>
      <w:pPr>
        <w:spacing w:before="0" w:after="120" w:line="324" w:lineRule="auto"/>
        <w:jc w:val="right"/>
        <w:keepNext w:val="0"/>
        <w:bidi w:val="1"/>
      </w:pPr>
      <w:r>
        <w:rPr>
          <w:rFonts w:ascii="Vazirmatn" w:hAnsi="Vazirmatn" w:cs="Vazirmatn"/>
          <w:b w:val="0"/>
          <w:i w:val="0"/>
          <w:color w:val="111A16"/>
          <w:sz w:val="21"/>
        </w:rPr>
        <w:t>یک گزارش مدیریتی فارسی شامل تصمیم اجرایی، عددهای مهم برای مدیر مالی، پیام برای مدیر بازاریابی و ارتباط با مشتری، محدودیت‌های شواهد، ریسک‌ها و سه اقدام بعدی. مدل زیر جدول و اصطلاحات علمی پنهان نمی‌شود؛ اما اتاق شواهد برای تیم داده در دسترس می‌ماند.</w:t>
      </w:r>
    </w:p>
    <w:p>
      <w:r>
        <w:br w:type="page"/>
      </w:r>
    </w:p>
    <w:p>
      <w:pPr>
        <w:spacing w:before="0" w:after="40" w:line="300" w:lineRule="auto"/>
        <w:jc w:val="right"/>
        <w:keepNext/>
        <w:bidi w:val="1"/>
      </w:pPr>
      <w:r>
        <w:rPr>
          <w:rFonts w:ascii="Vazirmatn" w:hAnsi="Vazirmatn" w:cs="Vazirmatn"/>
          <w:b/>
          <w:i w:val="0"/>
          <w:color w:val="046A38"/>
          <w:sz w:val="17"/>
        </w:rPr>
        <w:t>امنیت و اجرا</w:t>
      </w:r>
    </w:p>
    <w:p>
      <w:pPr>
        <w:pStyle w:val="Heading1"/>
        <w:jc w:val="right"/>
        <w:pageBreakBefore w:val="0"/>
        <w:bidi w:val="1"/>
      </w:pPr>
      <w:r>
        <w:rPr>
          <w:rFonts w:ascii="Vazirmatn" w:hAnsi="Vazirmatn" w:cs="Vazirmatn"/>
          <w:b/>
          <w:i w:val="0"/>
          <w:color w:val="046A38"/>
          <w:sz w:val="38"/>
        </w:rPr>
        <w:t>هم‌راستا با معماری اعتماد چارگون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6" w:color="D9E1DC"/>
          <w:left w:val="single" w:sz="6" w:color="D9E1DC"/>
          <w:bottom w:val="single" w:sz="6" w:color="D9E1DC"/>
          <w:right w:val="single" w:sz="6" w:color="D9E1DC"/>
          <w:insideH w:val="single" w:sz="6" w:color="D9E1DC"/>
          <w:insideV w:val="single" w:sz="6" w:color="D9E1DC"/>
        </w:tblBorders>
      </w:tblPr>
      <w:tblGrid>
        <w:gridCol w:w="4989"/>
        <w:gridCol w:w="4989"/>
      </w:tblGrid>
      <w:tr>
        <w:tc>
          <w:tcPr>
            <w:tcW w:type="dxa" w:w="4752"/>
            <w:tcMar>
              <w:top w:w="170" w:type="dxa"/>
              <w:start w:w="180" w:type="dxa"/>
              <w:bottom w:w="170" w:type="dxa"/>
              <w:end w:w="180" w:type="dxa"/>
            </w:tcMar>
            <w:shd w:fill="111A16"/>
          </w:tcPr>
          <w:p>
            <w:pPr>
              <w:spacing w:after="100"/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25"/>
              </w:rPr>
              <w:t>داده داخل سازمان</w:t>
            </w:r>
          </w:p>
          <w:p>
            <w:pPr>
              <w:spacing w:before="0" w:after="0" w:line="283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DCE5E0"/>
                <w:sz w:val="19"/>
              </w:rPr>
              <w:t>استقرار در محل سازمان یا محیط اختصاصی؛ انتقال حداقلی و کنترل‌شده داده.</w:t>
            </w:r>
          </w:p>
        </w:tc>
        <w:tc>
          <w:tcPr>
            <w:tcW w:type="dxa" w:w="4752"/>
            <w:tcMar>
              <w:top w:w="170" w:type="dxa"/>
              <w:start w:w="180" w:type="dxa"/>
              <w:bottom w:w="170" w:type="dxa"/>
              <w:end w:w="180" w:type="dxa"/>
            </w:tcMar>
            <w:shd w:fill="FFFFFF"/>
          </w:tcPr>
          <w:p>
            <w:pPr>
              <w:spacing w:after="100"/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25"/>
              </w:rPr>
              <w:t>اطلاعات هویتی حداقلی</w:t>
            </w:r>
          </w:p>
          <w:p>
            <w:pPr>
              <w:spacing w:before="0" w:after="0" w:line="283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627068"/>
                <w:sz w:val="19"/>
              </w:rPr>
              <w:t>شناسه ناشناس‌شده؛ بدون نیاز پیش‌فرض به نام، موبایل یا اطلاعات هویتی مستقیم.</w:t>
            </w:r>
          </w:p>
        </w:tc>
      </w:tr>
      <w:tr>
        <w:tc>
          <w:tcPr>
            <w:tcW w:type="dxa" w:w="4752"/>
            <w:tcMar>
              <w:top w:w="170" w:type="dxa"/>
              <w:start w:w="180" w:type="dxa"/>
              <w:bottom w:w="170" w:type="dxa"/>
              <w:end w:w="180" w:type="dxa"/>
            </w:tcMar>
            <w:shd w:fill="FFFFFF"/>
          </w:tcPr>
          <w:p>
            <w:pPr>
              <w:spacing w:after="100"/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25"/>
              </w:rPr>
              <w:t>کنترل دسترسی</w:t>
            </w:r>
          </w:p>
          <w:p>
            <w:pPr>
              <w:spacing w:before="0" w:after="0" w:line="283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627068"/>
                <w:sz w:val="19"/>
              </w:rPr>
              <w:t>نقش‌ها، ثبت رخداد، نسخه سیاست و تاریخچه تصمیم برای ممیزی.</w:t>
            </w:r>
          </w:p>
        </w:tc>
        <w:tc>
          <w:tcPr>
            <w:tcW w:type="dxa" w:w="4752"/>
            <w:tcMar>
              <w:top w:w="170" w:type="dxa"/>
              <w:start w:w="180" w:type="dxa"/>
              <w:bottom w:w="170" w:type="dxa"/>
              <w:end w:w="180" w:type="dxa"/>
            </w:tcMar>
            <w:shd w:fill="FFFFFF"/>
          </w:tcPr>
          <w:p>
            <w:pPr>
              <w:spacing w:after="100"/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25"/>
              </w:rPr>
              <w:t>تصمیم محافظه‌کار</w:t>
            </w:r>
          </w:p>
          <w:p>
            <w:pPr>
              <w:spacing w:before="0" w:after="0" w:line="283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627068"/>
                <w:sz w:val="19"/>
              </w:rPr>
              <w:t>عدم اقدام پیش‌فرض در نبود شواهد کافی یا سلامت پایین داده.</w:t>
            </w:r>
          </w:p>
        </w:tc>
      </w:tr>
    </w:tbl>
    <w:p>
      <w:pPr>
        <w:spacing w:before="0" w:after="40" w:line="300" w:lineRule="auto"/>
        <w:jc w:val="right"/>
        <w:keepNext w:val="0"/>
        <w:bidi w:val="1"/>
      </w:pPr>
    </w:p>
    <w:p>
      <w:pPr>
        <w:pStyle w:val="Heading2"/>
        <w:jc w:val="right"/>
        <w:bidi w:val="1"/>
      </w:pPr>
      <w:r>
        <w:rPr>
          <w:rFonts w:ascii="Vazirmatn" w:hAnsi="Vazirmatn" w:cs="Vazirmatn"/>
          <w:b/>
          <w:i w:val="0"/>
          <w:color w:val="111A16"/>
          <w:sz w:val="27"/>
        </w:rPr>
        <w:t>تقسیم مسئولیت در پایلوت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6" w:color="D9E1DC"/>
          <w:left w:val="single" w:sz="6" w:color="D9E1DC"/>
          <w:bottom w:val="single" w:sz="6" w:color="D9E1DC"/>
          <w:right w:val="single" w:sz="6" w:color="D9E1DC"/>
          <w:insideH w:val="single" w:sz="6" w:color="D9E1DC"/>
          <w:insideV w:val="single" w:sz="6" w:color="D9E1DC"/>
        </w:tblBorders>
      </w:tblPr>
      <w:tblGrid>
        <w:gridCol w:w="3311"/>
        <w:gridCol w:w="3110"/>
        <w:gridCol w:w="3139"/>
      </w:tblGrid>
      <w:tr>
        <w:tc>
          <w:tcPr>
            <w:tcW w:type="dxa" w:w="3311"/>
            <w:shd w:fill="111A1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</w:rPr>
              <w:t>مشتری پایلوت</w:t>
            </w:r>
          </w:p>
        </w:tc>
        <w:tc>
          <w:tcPr>
            <w:tcW w:type="dxa" w:w="3110"/>
            <w:shd w:fill="111A1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</w:rPr>
              <w:t>چارگون</w:t>
            </w:r>
          </w:p>
        </w:tc>
        <w:tc>
          <w:tcPr>
            <w:tcW w:type="dxa" w:w="3139"/>
            <w:shd w:fill="111A1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</w:rPr>
              <w:t>مارجین‌لیفت</w:t>
            </w:r>
          </w:p>
        </w:tc>
      </w:tr>
      <w:tr>
        <w:tc>
          <w:tcPr>
            <w:tcW w:type="dxa" w:w="3311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مالک داده و شاخص؛ تأیید قرارداد داده</w:t>
            </w:r>
          </w:p>
        </w:tc>
        <w:tc>
          <w:tcPr>
            <w:tcW w:type="dxa" w:w="3110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حامی محصول و هماهنگی دسترسی</w:t>
            </w:r>
          </w:p>
        </w:tc>
        <w:tc>
          <w:tcPr>
            <w:tcW w:type="dxa" w:w="3139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ممیزی داده و طراحی تحلیل</w:t>
            </w:r>
          </w:p>
        </w:tc>
      </w:tr>
      <w:tr>
        <w:tc>
          <w:tcPr>
            <w:tcW w:type="dxa" w:w="3311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اجرای کمپین و ثبت مواجهه</w:t>
            </w:r>
          </w:p>
        </w:tc>
        <w:tc>
          <w:tcPr>
            <w:tcW w:type="dxa" w:w="311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هماهنگی تعامل‌پذیری، امنیت و استقرار</w:t>
            </w:r>
          </w:p>
        </w:tc>
        <w:tc>
          <w:tcPr>
            <w:tcW w:type="dxa" w:w="3139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طراحی سیاست و گروه کنترل</w:t>
            </w:r>
          </w:p>
        </w:tc>
      </w:tr>
      <w:tr>
        <w:tc>
          <w:tcPr>
            <w:tcW w:type="dxa" w:w="3311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تأیید هزینه، حاشیه سود و نتیجه</w:t>
            </w:r>
          </w:p>
        </w:tc>
        <w:tc>
          <w:tcPr>
            <w:tcW w:type="dxa" w:w="3110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بازبینی قابلیت عرضه مشترک</w:t>
            </w:r>
          </w:p>
        </w:tc>
        <w:tc>
          <w:tcPr>
            <w:tcW w:type="dxa" w:w="3139"/>
            <w:shd w:fill="EAF6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11A16"/>
                <w:sz w:val="17"/>
              </w:rPr>
              <w:t>گزارش، شواهد و توصیه توسعه یا توقف</w:t>
            </w:r>
          </w:p>
        </w:tc>
      </w:tr>
    </w:tbl>
    <w:p>
      <w:pPr>
        <w:spacing w:before="0" w:after="80" w:line="300" w:lineRule="auto"/>
        <w:jc w:val="right"/>
        <w:keepNext w:val="0"/>
        <w:bidi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5E7"/>
          <w:left w:val="single" w:sz="0" w:color="FFF5E7"/>
          <w:bottom w:val="single" w:sz="0" w:color="FFF5E7"/>
          <w:right w:val="single" w:sz="0" w:color="FFF5E7"/>
        </w:tblBorders>
        <w:bidiVisual/>
      </w:tblPr>
      <w:tblGrid>
        <w:gridCol w:w="9576"/>
      </w:tblGrid>
      <w:tr>
        <w:tc>
          <w:tcPr>
            <w:tcW w:type="dxa" w:w="9576"/>
            <w:shd w:fill="FFF5E7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80"/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B36B00"/>
                <w:sz w:val="20"/>
              </w:rPr>
              <w:t>پیش‌شرط حقوقی</w:t>
            </w:r>
          </w:p>
          <w:p>
            <w:pPr>
              <w:spacing w:before="0" w:after="0" w:line="300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/>
                <w:i w:val="0"/>
                <w:color w:val="111A16"/>
                <w:sz w:val="24"/>
              </w:rPr>
              <w:t>قرارداد پردازش داده، مالکیت خروجی، سطح خدمت، محرمانگی و مسئولیت تصمیم تجاری پیش از اجرای زنده نهایی می‌شوند.</w:t>
            </w:r>
          </w:p>
        </w:tc>
      </w:tr>
    </w:tbl>
    <w:p>
      <w:pPr>
        <w:spacing w:before="0" w:after="40" w:line="300" w:lineRule="auto"/>
        <w:jc w:val="right"/>
        <w:keepNext w:val="0"/>
        <w:bidi w:val="1"/>
      </w:pPr>
    </w:p>
    <w:p>
      <w:r>
        <w:br w:type="page"/>
      </w:r>
    </w:p>
    <w:p>
      <w:pPr>
        <w:spacing w:before="0" w:after="40" w:line="300" w:lineRule="auto"/>
        <w:jc w:val="right"/>
        <w:keepNext/>
        <w:bidi w:val="1"/>
      </w:pPr>
      <w:r>
        <w:rPr>
          <w:rFonts w:ascii="Vazirmatn" w:hAnsi="Vazirmatn" w:cs="Vazirmatn"/>
          <w:b/>
          <w:i w:val="0"/>
          <w:color w:val="046A38"/>
          <w:sz w:val="17"/>
        </w:rPr>
        <w:t>مدل همکاری</w:t>
      </w:r>
    </w:p>
    <w:p>
      <w:pPr>
        <w:pStyle w:val="Heading1"/>
        <w:jc w:val="right"/>
        <w:pageBreakBefore w:val="0"/>
        <w:bidi w:val="1"/>
      </w:pPr>
      <w:r>
        <w:rPr>
          <w:rFonts w:ascii="Vazirmatn" w:hAnsi="Vazirmatn" w:cs="Vazirmatn"/>
          <w:b/>
          <w:i w:val="0"/>
          <w:color w:val="046A38"/>
          <w:sz w:val="38"/>
        </w:rPr>
        <w:t>اول اثبات؛ سپس قرارداد مقیاس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6" w:color="D9E1DC"/>
          <w:left w:val="single" w:sz="6" w:color="D9E1DC"/>
          <w:bottom w:val="single" w:sz="6" w:color="D9E1DC"/>
          <w:right w:val="single" w:sz="6" w:color="D9E1DC"/>
          <w:insideH w:val="single" w:sz="6" w:color="D9E1DC"/>
          <w:insideV w:val="single" w:sz="6" w:color="D9E1DC"/>
        </w:tblBorders>
      </w:tblPr>
      <w:tblGrid>
        <w:gridCol w:w="9561"/>
      </w:tblGrid>
      <w:tr>
        <w:tc>
          <w:tcPr>
            <w:tcW w:type="dxa" w:w="9561"/>
            <w:shd w:fill="111A16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C4D600"/>
                <w:sz w:val="24"/>
              </w:rPr>
              <w:t>A | پایلوت هم‌برند</w:t>
            </w:r>
          </w:p>
          <w:p>
            <w:pPr>
              <w:spacing w:before="0" w:after="0" w:line="300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DCE5E0"/>
                <w:sz w:val="19"/>
              </w:rPr>
              <w:t>مارجین‌لیفت اجرای تخصصی را بر عهده می‌گیرد؛ چارگون حامی محصول، مسیر فنی و دسترسی به مشتری مناسب را فراهم می‌کند. پیشنهاد شروع.</w:t>
            </w:r>
          </w:p>
        </w:tc>
      </w:tr>
      <w:tr>
        <w:tc>
          <w:tcPr>
            <w:tcW w:type="dxa" w:w="9561"/>
            <w:shd w:fill="FFFFFF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24"/>
              </w:rPr>
              <w:t>B | عرضه مشترک یا بازارگاه</w:t>
            </w:r>
          </w:p>
          <w:p>
            <w:pPr>
              <w:spacing w:before="0" w:after="0" w:line="300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627068"/>
                <w:sz w:val="19"/>
              </w:rPr>
              <w:t>پس از اثبات نتیجه، بسته مشترک با سهم درآمد، SLA، پشتیبانی و ownership روشن عرضه می‌شود.</w:t>
            </w:r>
          </w:p>
        </w:tc>
      </w:tr>
      <w:tr>
        <w:tc>
          <w:tcPr>
            <w:tcW w:type="dxa" w:w="9561"/>
            <w:shd w:fill="FFFFFF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24"/>
              </w:rPr>
              <w:t>C | ماژول اختصاصی</w:t>
            </w:r>
          </w:p>
          <w:p>
            <w:pPr>
              <w:spacing w:before="0" w:after="0" w:line="300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627068"/>
                <w:sz w:val="19"/>
              </w:rPr>
              <w:t>در صورت کشش بازار و تکرارپذیری، تجربه کاربری و استقرار عمیق‌تر با اکوسیستم چارگون یکپارچه می‌شود.</w:t>
            </w:r>
          </w:p>
        </w:tc>
      </w:tr>
    </w:tbl>
    <w:p>
      <w:pPr>
        <w:spacing w:before="0" w:after="100" w:line="300" w:lineRule="auto"/>
        <w:jc w:val="right"/>
        <w:keepNext w:val="0"/>
        <w:bidi w:val="1"/>
      </w:pPr>
    </w:p>
    <w:p>
      <w:pPr>
        <w:pStyle w:val="Heading2"/>
        <w:jc w:val="right"/>
        <w:bidi w:val="1"/>
      </w:pPr>
      <w:r>
        <w:rPr>
          <w:rFonts w:ascii="Vazirmatn" w:hAnsi="Vazirmatn" w:cs="Vazirmatn"/>
          <w:b/>
          <w:i w:val="0"/>
          <w:color w:val="111A16"/>
          <w:sz w:val="27"/>
        </w:rPr>
        <w:t>چارچوب تجاری پیشنهادی</w:t>
      </w:r>
    </w:p>
    <w:p>
      <w:pPr>
        <w:pStyle w:val="ListBullet"/>
        <w:spacing w:after="80" w:line="283" w:lineRule="auto"/>
        <w:ind w:left="173" w:right="346"/>
        <w:jc w:val="right"/>
        <w:bidi w:val="1"/>
      </w:pPr>
      <w:r>
        <w:rPr>
          <w:rFonts w:ascii="Vazirmatn" w:hAnsi="Vazirmatn" w:cs="Vazirmatn"/>
          <w:b w:val="0"/>
          <w:i w:val="0"/>
          <w:color w:val="111A16"/>
          <w:sz w:val="20"/>
        </w:rPr>
        <w:t>ارزیابی: مبلغ ثابت برای بررسی آمادگی داده و تحلیل تاریخی؛ بدون ادعای علّی.</w:t>
      </w:r>
    </w:p>
    <w:p>
      <w:pPr>
        <w:pStyle w:val="ListBullet"/>
        <w:spacing w:after="80" w:line="283" w:lineRule="auto"/>
        <w:ind w:left="173" w:right="346"/>
        <w:jc w:val="right"/>
        <w:bidi w:val="1"/>
      </w:pPr>
      <w:r>
        <w:rPr>
          <w:rFonts w:ascii="Vazirmatn" w:hAnsi="Vazirmatn" w:cs="Vazirmatn"/>
          <w:b w:val="0"/>
          <w:i w:val="0"/>
          <w:color w:val="111A16"/>
          <w:sz w:val="20"/>
        </w:rPr>
        <w:t>پایلوت زنده: مبلغ ثابت برای طراحی گروه کنترل، اجرا و گزارش نتیجه.</w:t>
      </w:r>
    </w:p>
    <w:p>
      <w:pPr>
        <w:pStyle w:val="ListBullet"/>
        <w:spacing w:after="80" w:line="283" w:lineRule="auto"/>
        <w:ind w:left="173" w:right="346"/>
        <w:jc w:val="right"/>
        <w:bidi w:val="1"/>
      </w:pPr>
      <w:r>
        <w:rPr>
          <w:rFonts w:ascii="Vazirmatn" w:hAnsi="Vazirmatn" w:cs="Vazirmatn"/>
          <w:b w:val="0"/>
          <w:i w:val="0"/>
          <w:color w:val="111A16"/>
          <w:sz w:val="20"/>
        </w:rPr>
        <w:t>مقیاس: اشتراک یا سهم درآمد فقط بر مبنای صرفه‌جویی یا سود افزایشی تأییدشده و قابل ممیزی.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AF6EE"/>
          <w:left w:val="single" w:sz="0" w:color="EAF6EE"/>
          <w:bottom w:val="single" w:sz="0" w:color="EAF6EE"/>
          <w:right w:val="single" w:sz="0" w:color="EAF6EE"/>
        </w:tblBorders>
        <w:bidiVisual/>
      </w:tblPr>
      <w:tblGrid>
        <w:gridCol w:w="9576"/>
      </w:tblGrid>
      <w:tr>
        <w:tc>
          <w:tcPr>
            <w:tcW w:type="dxa" w:w="9576"/>
            <w:shd w:fill="EAF6EE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80"/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20"/>
              </w:rPr>
              <w:t>موضع پیشنهادی در مذاکره</w:t>
            </w:r>
          </w:p>
          <w:p>
            <w:pPr>
              <w:spacing w:before="0" w:after="0" w:line="300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/>
                <w:i w:val="0"/>
                <w:color w:val="111A16"/>
                <w:sz w:val="24"/>
              </w:rPr>
              <w:t>در جلسه اول قیمت نهایی ارائه نشود. ابتدا اندازه داده، چرخه خرید، هزینه اقدام، مدل استقرار و نقش چارگون در فروش/پشتیبانی روشن شود.</w:t>
            </w:r>
          </w:p>
        </w:tc>
      </w:tr>
    </w:tbl>
    <w:p>
      <w:pPr>
        <w:spacing w:before="0" w:after="40" w:line="300" w:lineRule="auto"/>
        <w:jc w:val="right"/>
        <w:keepNext w:val="0"/>
        <w:bidi w:val="1"/>
      </w:pPr>
    </w:p>
    <w:p>
      <w:pPr>
        <w:spacing w:before="160" w:after="0" w:line="300" w:lineRule="auto"/>
        <w:jc w:val="right"/>
        <w:keepNext w:val="0"/>
        <w:bidi w:val="1"/>
      </w:pPr>
      <w:r>
        <w:rPr>
          <w:rFonts w:ascii="Vazirmatn" w:hAnsi="Vazirmatn" w:cs="Vazirmatn"/>
          <w:b w:val="0"/>
          <w:i/>
          <w:color w:val="627068"/>
          <w:sz w:val="18"/>
        </w:rPr>
        <w:t>این سند پیشنهاد اولیه و غیرالزام‌آور است. دامنه، قیمت، مسئولیت‌ها، مالکیت فکری و مفاد حقوقی پس از Discovery مشترک نهایی می‌شوند.</w:t>
      </w:r>
    </w:p>
    <w:p>
      <w:r>
        <w:br w:type="page"/>
      </w:r>
    </w:p>
    <w:p>
      <w:pPr>
        <w:spacing w:before="0" w:after="40" w:line="300" w:lineRule="auto"/>
        <w:jc w:val="right"/>
        <w:keepNext/>
        <w:bidi w:val="1"/>
      </w:pPr>
      <w:r>
        <w:rPr>
          <w:rFonts w:ascii="Vazirmatn" w:hAnsi="Vazirmatn" w:cs="Vazirmatn"/>
          <w:b/>
          <w:i w:val="0"/>
          <w:color w:val="046A38"/>
          <w:sz w:val="17"/>
        </w:rPr>
        <w:t>قدم بعدی</w:t>
      </w:r>
    </w:p>
    <w:p>
      <w:pPr>
        <w:pStyle w:val="Heading1"/>
        <w:jc w:val="right"/>
        <w:pageBreakBefore w:val="0"/>
        <w:bidi w:val="1"/>
      </w:pPr>
      <w:r>
        <w:rPr>
          <w:rFonts w:ascii="Vazirmatn" w:hAnsi="Vazirmatn" w:cs="Vazirmatn"/>
          <w:b/>
          <w:i w:val="0"/>
          <w:color w:val="046A38"/>
          <w:sz w:val="38"/>
        </w:rPr>
        <w:t>یک جلسه؛ چهار تصمیم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6" w:color="D9E1DC"/>
          <w:left w:val="single" w:sz="6" w:color="D9E1DC"/>
          <w:bottom w:val="single" w:sz="6" w:color="D9E1DC"/>
          <w:right w:val="single" w:sz="6" w:color="D9E1DC"/>
          <w:insideH w:val="single" w:sz="6" w:color="D9E1DC"/>
          <w:insideV w:val="single" w:sz="6" w:color="D9E1DC"/>
        </w:tblBorders>
      </w:tblPr>
      <w:tblGrid>
        <w:gridCol w:w="4989"/>
        <w:gridCol w:w="4989"/>
      </w:tblGrid>
      <w:tr>
        <w:tc>
          <w:tcPr>
            <w:tcW w:type="dxa" w:w="4752"/>
            <w:tcMar>
              <w:top w:w="170" w:type="dxa"/>
              <w:start w:w="180" w:type="dxa"/>
              <w:bottom w:w="170" w:type="dxa"/>
              <w:end w:w="180" w:type="dxa"/>
            </w:tcMar>
            <w:shd w:fill="111A16"/>
          </w:tcPr>
          <w:p>
            <w:pPr>
              <w:spacing w:after="100"/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25"/>
              </w:rPr>
              <w:t>۱ | حامی سازمانی</w:t>
            </w:r>
          </w:p>
          <w:p>
            <w:pPr>
              <w:spacing w:before="0" w:after="0" w:line="283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DCE5E0"/>
                <w:sz w:val="19"/>
              </w:rPr>
              <w:t>چه کسی در چارگون مالک بررسی محصول و تصمیم ادامه مسیر است؟</w:t>
            </w:r>
          </w:p>
        </w:tc>
        <w:tc>
          <w:tcPr>
            <w:tcW w:type="dxa" w:w="4752"/>
            <w:tcMar>
              <w:top w:w="170" w:type="dxa"/>
              <w:start w:w="180" w:type="dxa"/>
              <w:bottom w:w="170" w:type="dxa"/>
              <w:end w:w="180" w:type="dxa"/>
            </w:tcMar>
            <w:shd w:fill="FFFFFF"/>
          </w:tcPr>
          <w:p>
            <w:pPr>
              <w:spacing w:after="100"/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25"/>
              </w:rPr>
              <w:t>۲ | مشتری پایلوت</w:t>
            </w:r>
          </w:p>
          <w:p>
            <w:pPr>
              <w:spacing w:before="0" w:after="0" w:line="283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627068"/>
                <w:sz w:val="19"/>
              </w:rPr>
              <w:t>کدام مشتری چرخه خرید تکرارشونده، داده کافی و درد مالی روشن دارد؟</w:t>
            </w:r>
          </w:p>
        </w:tc>
      </w:tr>
      <w:tr>
        <w:tc>
          <w:tcPr>
            <w:tcW w:type="dxa" w:w="4752"/>
            <w:tcMar>
              <w:top w:w="170" w:type="dxa"/>
              <w:start w:w="180" w:type="dxa"/>
              <w:bottom w:w="170" w:type="dxa"/>
              <w:end w:w="180" w:type="dxa"/>
            </w:tcMar>
            <w:shd w:fill="FFFFFF"/>
          </w:tcPr>
          <w:p>
            <w:pPr>
              <w:spacing w:after="100"/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25"/>
              </w:rPr>
              <w:t>۳ | معماری</w:t>
            </w:r>
          </w:p>
          <w:p>
            <w:pPr>
              <w:spacing w:before="0" w:after="0" w:line="283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627068"/>
                <w:sz w:val="19"/>
              </w:rPr>
              <w:t>آیا انتقال امن دوره‌ای برای شروع کافی است یا اتصال مستقیم و استقرار محلی از روز اول لازم است؟</w:t>
            </w:r>
          </w:p>
        </w:tc>
        <w:tc>
          <w:tcPr>
            <w:tcW w:type="dxa" w:w="4752"/>
            <w:tcMar>
              <w:top w:w="170" w:type="dxa"/>
              <w:start w:w="180" w:type="dxa"/>
              <w:bottom w:w="170" w:type="dxa"/>
              <w:end w:w="180" w:type="dxa"/>
            </w:tcMar>
            <w:shd w:fill="FFFFFF"/>
          </w:tcPr>
          <w:p>
            <w:pPr>
              <w:spacing w:after="100"/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046A38"/>
                <w:sz w:val="25"/>
              </w:rPr>
              <w:t>۴ | موفقیت</w:t>
            </w:r>
          </w:p>
          <w:p>
            <w:pPr>
              <w:spacing w:before="0" w:after="0" w:line="283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627068"/>
                <w:sz w:val="19"/>
              </w:rPr>
              <w:t>چه شاخص و چه آستانه‌ای تصمیم توسعه، بازبینی یا توقف را تعیین می‌کند؟</w:t>
            </w:r>
          </w:p>
        </w:tc>
      </w:tr>
    </w:tbl>
    <w:p>
      <w:pPr>
        <w:spacing w:before="0" w:after="40" w:line="300" w:lineRule="auto"/>
        <w:jc w:val="right"/>
        <w:keepNext w:val="0"/>
        <w:bidi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111A16"/>
          <w:left w:val="single" w:sz="0" w:color="111A16"/>
          <w:bottom w:val="single" w:sz="0" w:color="111A16"/>
          <w:right w:val="single" w:sz="0" w:color="111A16"/>
        </w:tblBorders>
        <w:bidiVisual/>
      </w:tblPr>
      <w:tblGrid>
        <w:gridCol w:w="9576"/>
      </w:tblGrid>
      <w:tr>
        <w:tc>
          <w:tcPr>
            <w:tcW w:type="dxa" w:w="9576"/>
            <w:shd w:fill="111A16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80"/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C4D600"/>
                <w:sz w:val="20"/>
              </w:rPr>
              <w:t>درخواست مشخص</w:t>
            </w:r>
          </w:p>
          <w:p>
            <w:pPr>
              <w:spacing w:before="0" w:after="0" w:line="300" w:lineRule="auto"/>
              <w:jc w:val="right"/>
              <w:keepNext w:val="0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24"/>
              </w:rPr>
              <w:t>تعیین یک جلسه ۶۰ دقیقه‌ای برای مرور دمو، قرارداد داده و انتخاب اولین پایلوت؛ بدون تعهد خرید یا توسعه اختصاصی.</w:t>
            </w:r>
          </w:p>
        </w:tc>
      </w:tr>
    </w:tbl>
    <w:p>
      <w:pPr>
        <w:spacing w:before="0" w:after="40" w:line="300" w:lineRule="auto"/>
        <w:jc w:val="right"/>
        <w:keepNext w:val="0"/>
        <w:bidi w:val="1"/>
      </w:pPr>
    </w:p>
    <w:p>
      <w:pPr>
        <w:pStyle w:val="Heading2"/>
        <w:jc w:val="right"/>
        <w:bidi w:val="1"/>
      </w:pPr>
      <w:r>
        <w:rPr>
          <w:rFonts w:ascii="Vazirmatn" w:hAnsi="Vazirmatn" w:cs="Vazirmatn"/>
          <w:b/>
          <w:i w:val="0"/>
          <w:color w:val="111A16"/>
          <w:sz w:val="27"/>
        </w:rPr>
        <w:t>منابع عمومی مورد استفاده</w:t>
      </w:r>
    </w:p>
    <w:p>
      <w:pPr>
        <w:pStyle w:val="ListBullet"/>
        <w:spacing w:after="80" w:line="283" w:lineRule="auto"/>
        <w:ind w:left="173" w:right="346"/>
        <w:jc w:val="right"/>
        <w:bidi w:val="1"/>
      </w:pPr>
      <w:r>
        <w:rPr>
          <w:rFonts w:ascii="Vazirmatn" w:hAnsi="Vazirmatn" w:cs="Vazirmatn"/>
          <w:b w:val="0"/>
          <w:i w:val="0"/>
          <w:color w:val="111A16"/>
          <w:sz w:val="20"/>
        </w:rPr>
        <w:t>سایت رسمی چارگون؛ محصولات، خدمات، مشتریان و معرفی شرکت: https://chargoon.com/</w:t>
      </w:r>
    </w:p>
    <w:p>
      <w:pPr>
        <w:pStyle w:val="ListBullet"/>
        <w:spacing w:after="80" w:line="283" w:lineRule="auto"/>
        <w:ind w:left="173" w:right="346"/>
        <w:jc w:val="right"/>
        <w:bidi w:val="1"/>
      </w:pPr>
      <w:r>
        <w:rPr>
          <w:rFonts w:ascii="Vazirmatn" w:hAnsi="Vazirmatn" w:cs="Vazirmatn"/>
          <w:b w:val="0"/>
          <w:i w:val="0"/>
          <w:color w:val="111A16"/>
          <w:sz w:val="20"/>
        </w:rPr>
        <w:t>پلتفرم هوش مصنوعی سازمانی آسا: https://chargoon.com/enterprise-ai-platform/</w:t>
      </w:r>
    </w:p>
    <w:p>
      <w:pPr>
        <w:pStyle w:val="ListBullet"/>
        <w:spacing w:after="80" w:line="283" w:lineRule="auto"/>
        <w:ind w:left="173" w:right="346"/>
        <w:jc w:val="right"/>
        <w:bidi w:val="1"/>
      </w:pPr>
      <w:r>
        <w:rPr>
          <w:rFonts w:ascii="Vazirmatn" w:hAnsi="Vazirmatn" w:cs="Vazirmatn"/>
          <w:b w:val="0"/>
          <w:i w:val="0"/>
          <w:color w:val="111A16"/>
          <w:sz w:val="20"/>
        </w:rPr>
        <w:t>هوش تجاری چارگون: https://chargoon.com/business-intelligence-software/</w:t>
      </w:r>
    </w:p>
    <w:p>
      <w:pPr>
        <w:pStyle w:val="ListBullet"/>
        <w:spacing w:after="80" w:line="283" w:lineRule="auto"/>
        <w:ind w:left="173" w:right="346"/>
        <w:jc w:val="right"/>
        <w:bidi w:val="1"/>
      </w:pPr>
      <w:r>
        <w:rPr>
          <w:rFonts w:ascii="Vazirmatn" w:hAnsi="Vazirmatn" w:cs="Vazirmatn"/>
          <w:b w:val="0"/>
          <w:i w:val="0"/>
          <w:color w:val="111A16"/>
          <w:sz w:val="20"/>
        </w:rPr>
        <w:t>تعامل‌پذیری و رابط‌های برنامه‌نویسی: https://chargoon.com/api-service/</w:t>
      </w:r>
    </w:p>
    <w:p>
      <w:pPr>
        <w:pStyle w:val="ListBullet"/>
        <w:spacing w:after="80" w:line="283" w:lineRule="auto"/>
        <w:ind w:left="173" w:right="346"/>
        <w:jc w:val="right"/>
        <w:bidi w:val="1"/>
      </w:pPr>
      <w:r>
        <w:rPr>
          <w:rFonts w:ascii="Vazirmatn" w:hAnsi="Vazirmatn" w:cs="Vazirmatn"/>
          <w:b w:val="0"/>
          <w:i w:val="0"/>
          <w:color w:val="111A16"/>
          <w:sz w:val="20"/>
        </w:rPr>
        <w:t>مرکز امنیت چارگون: https://chargoon.com/security-center/</w:t>
      </w:r>
    </w:p>
    <w:p>
      <w:pPr>
        <w:pStyle w:val="ListBullet"/>
        <w:spacing w:after="80" w:line="283" w:lineRule="auto"/>
        <w:ind w:left="173" w:right="346"/>
        <w:jc w:val="right"/>
        <w:bidi w:val="1"/>
      </w:pPr>
      <w:r>
        <w:rPr>
          <w:rFonts w:ascii="Vazirmatn" w:hAnsi="Vazirmatn" w:cs="Vazirmatn"/>
          <w:b w:val="0"/>
          <w:i w:val="0"/>
          <w:color w:val="111A16"/>
          <w:sz w:val="20"/>
        </w:rPr>
        <w:t>راهنمای برند چارگون: https://chargoon.com/logo/</w:t>
      </w:r>
    </w:p>
    <w:p>
      <w:pPr>
        <w:pStyle w:val="ListBullet"/>
        <w:spacing w:after="80" w:line="283" w:lineRule="auto"/>
        <w:ind w:left="173" w:right="346"/>
        <w:jc w:val="right"/>
        <w:bidi w:val="1"/>
      </w:pPr>
      <w:r>
        <w:rPr>
          <w:rFonts w:ascii="Vazirmatn" w:hAnsi="Vazirmatn" w:cs="Vazirmatn"/>
          <w:b w:val="0"/>
          <w:i w:val="0"/>
          <w:color w:val="111A16"/>
          <w:sz w:val="20"/>
        </w:rPr>
        <w:t>گفت‌وگوی مدیران چارگون درباره انسان‌به‌انسان، هوش مصنوعی محلی و بازارگاه: https://digiato.com/iran-technology-news/chargoon-interview-rebranding</w:t>
      </w:r>
    </w:p>
    <w:p>
      <w:pPr>
        <w:pStyle w:val="ListBullet"/>
        <w:spacing w:after="80" w:line="283" w:lineRule="auto"/>
        <w:ind w:left="173" w:right="346"/>
        <w:jc w:val="right"/>
        <w:bidi w:val="1"/>
      </w:pPr>
      <w:r>
        <w:rPr>
          <w:rFonts w:ascii="Vazirmatn" w:hAnsi="Vazirmatn" w:cs="Vazirmatn"/>
          <w:b w:val="0"/>
          <w:i w:val="0"/>
          <w:color w:val="111A16"/>
          <w:sz w:val="20"/>
        </w:rPr>
        <w:t>دموی مارجین‌لیفت: https://marginlift.ir/</w:t>
      </w:r>
    </w:p>
    <w:p>
      <w:pPr>
        <w:spacing w:before="120" w:after="0" w:line="300" w:lineRule="auto"/>
        <w:jc w:val="right"/>
        <w:keepNext w:val="0"/>
        <w:bidi w:val="1"/>
      </w:pPr>
      <w:r>
        <w:rPr>
          <w:rFonts w:ascii="Vazirmatn" w:hAnsi="Vazirmatn" w:cs="Vazirmatn"/>
          <w:b/>
          <w:i w:val="0"/>
          <w:color w:val="B3312C"/>
          <w:sz w:val="18"/>
        </w:rPr>
        <w:t>یادداشت دقت: در این سند هیچ ادعایی درباره دقت مدل، نتیجه مالی مشتری، تناسب محصول و بازار یا آمادگی استقرار در محیط عملیاتی مطرح نشده است. همه نتایج به پایلوت با داده واقعی نیاز دارند.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Vazirmatn" w:hAnsi="Vazirmatn" w:cs="Vazirmatn"/>
        <w:b w:val="0"/>
        <w:i w:val="0"/>
        <w:color w:val="627068"/>
        <w:sz w:val="16"/>
      </w:rPr>
      <w:fldChar w:fldCharType="begin"/>
      <w:instrText xml:space="preserve">PAGE</w:instrText>
      <w:fldChar w:fldCharType="end"/>
    </w:r>
    <w:r>
      <w:rPr>
        <w:rFonts w:ascii="Vazirmatn" w:hAnsi="Vazirmatn" w:cs="Vazirmatn"/>
        <w:b w:val="0"/>
        <w:i w:val="0"/>
        <w:color w:val="627068"/>
        <w:sz w:val="16"/>
      </w:rPr>
      <w:t xml:space="preserve">   |   محرمانه و غیرالزام‌آور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Vazirmatn" w:hAnsi="Vazirmatn" w:cs="Vazirmatn"/>
        <w:b/>
        <w:i w:val="0"/>
        <w:color w:val="627068"/>
        <w:sz w:val="16"/>
      </w:rPr>
      <w:t>پیشنهاد همکاری مارجین‌لیفت × چارگون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Vazirmatn" w:hAnsi="Vazirmatn" w:cs="Vazirmat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Vazirmatn" w:hAnsi="Vazirmatn" w:cs="Vazirmatn"/>
      <w:b/>
      <w:bCs/>
      <w:color w:val="046A3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Vazirmatn" w:hAnsi="Vazirmatn" w:cs="Vazirmatn"/>
      <w:b/>
      <w:bCs/>
      <w:color w:val="111A1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Vazirmatn" w:hAnsi="Vazirmatn" w:cs="Vazirmatn"/>
      <w:b/>
      <w:bCs/>
      <w:color w:val="046A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پیشنهاد همکاری MarginLift و چارگون</dc:title>
  <dc:subject>پایلوت مشترک تصمیم‌یار نگهداشت مشتری</dc:subject>
  <dc:creator>MarginLift</dc:creator>
  <cp:keywords>MarginLift, Chargoon, Retention, Uplift, Causal Decisioning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