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4F6F52"/>
          <w:sz w:val="40"/>
          <w:szCs w:val="40"/>
        </w:rPr>
        <w:t xml:space="preserve">Project 1: Advanced EDA &amp; Feature Engineering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E-Commerce Orders Dataset · DecodeLabs Industrial Training Kit · Batch 2026</w:t>
      </w:r>
    </w:p>
    <w:p>
      <w:pPr>
        <w:pStyle w:val="Heading1"/>
        <w:spacing w:after="150" w:before="300"/>
      </w:pPr>
      <w:r>
        <w:t xml:space="preserve">1. Dataset Overview</w:t>
      </w:r>
    </w:p>
    <w:p>
      <w:pPr>
        <w:spacing w:after="120"/>
      </w:pPr>
      <w:r>
        <w:t xml:space="preserve">The raw dataset (parsed from the supplied PDF export) contains 1,200 e-commerce order records across 14 columns: OrderID, Date, CustomerID, Product, Quantity, UnitPrice, ShippingAddress, PaymentMethod, OrderStatus, TrackingNumber, ItemsInCart, CouponCode, ReferralSource, and TotalPrice.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45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Rows x Columns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1,200 x 14</w:t>
            </w:r>
          </w:p>
        </w:tc>
      </w:tr>
      <w:tr>
        <w:tc>
          <w:tcPr>
            <w:tcW w:type="dxa" w:w="4500"/>
            <w:shd w:fill="EAF2E7" w:val="clear"/>
          </w:tcPr>
          <w:p>
            <w:r>
              <w:t xml:space="preserve">Duplicate OrderIDs</w:t>
            </w:r>
          </w:p>
        </w:tc>
        <w:tc>
          <w:tcPr>
            <w:tcW w:type="dxa" w:w="4500"/>
            <w:shd w:fill="EAF2E7" w:val="clear"/>
          </w:tcPr>
          <w:p>
            <w:r>
              <w:t xml:space="preserve">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Fully duplicate rows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0</w:t>
            </w:r>
          </w:p>
        </w:tc>
      </w:tr>
      <w:tr>
        <w:tc>
          <w:tcPr>
            <w:tcW w:type="dxa" w:w="4500"/>
            <w:shd w:fill="EAF2E7" w:val="clear"/>
          </w:tcPr>
          <w:p>
            <w:r>
              <w:t xml:space="preserve">TotalPrice = Quantity x UnitPrice mismatches</w:t>
            </w:r>
          </w:p>
        </w:tc>
        <w:tc>
          <w:tcPr>
            <w:tcW w:type="dxa" w:w="4500"/>
            <w:shd w:fill="EAF2E7" w:val="clear"/>
          </w:tcPr>
          <w:p>
            <w:r>
              <w:t xml:space="preserve">0 (data integrity confirmed)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Date range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2023-01-01 to 2025-06-30</w:t>
            </w:r>
          </w:p>
        </w:tc>
      </w:tr>
    </w:tbl>
    <w:p>
      <w:pPr>
        <w:pStyle w:val="Heading1"/>
        <w:spacing w:after="150" w:before="300"/>
      </w:pPr>
      <w:r>
        <w:t xml:space="preserve">2. Missing Data Treatment</w:t>
      </w:r>
    </w:p>
    <w:p>
      <w:pPr>
        <w:spacing w:after="120"/>
      </w:pPr>
      <w:r>
        <w:t xml:space="preserve">Only one column contains missing values: CouponCode, at 25.75% (309 of 1,200 rows) — above the 20% threshold in the standard missing-data decision matrix.</w:t>
      </w:r>
    </w:p>
    <w:p>
      <w:pPr>
        <w:spacing w:after="120"/>
      </w:pPr>
      <w:r>
        <w:rPr>
          <w:b w:val="false"/>
          <w:bCs w:val="false"/>
        </w:rPr>
        <w:t xml:space="preserve">CouponCode is categorical with exactly three valid codes (SAVE10, FREESHIP, WINTER15). A blank entry is not random noise — it structurally means “no coupon applied at checkout.” Mode-imputing a code would fabricate a discount that was never given and would bias any downstream revenue or discount-rate analysis. The statistically honest treatment is to encode the missingness itself as a distinct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Action taken: CouponCode.fillna('NoCoupon')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engineered flag: HasCoupon (1 if a real code was used, else 0)</w:t>
      </w:r>
    </w:p>
    <w:p>
      <w:pPr>
        <w:pStyle w:val="Heading2"/>
        <w:spacing w:after="120" w:before="250"/>
      </w:pPr>
      <w:r>
        <w:t xml:space="preserve">Numeric Imputation Benchmark (Mean vs. Median vs. KNN)</w:t>
      </w:r>
    </w:p>
    <w:p>
      <w:pPr>
        <w:spacing w:after="120"/>
      </w:pPr>
      <w:r>
        <w:t xml:space="preserve">No numeric column in the raw data actually has missing values. To satisfy the project requirement of demonstrating statistical imputation (Mean / Median / KNN) on numeric fields, an 8% MCAR mask was simulated on UnitPrice and each method's recovery error was benchmarked against the known ground truth.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5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Mean Absolute Error vs. Ground Truth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Global Mean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181.60</w:t>
            </w:r>
          </w:p>
        </w:tc>
      </w:tr>
      <w:tr>
        <w:tc>
          <w:tcPr>
            <w:tcW w:type="dxa" w:w="4500"/>
            <w:shd w:fill="EAF2E7" w:val="clear"/>
          </w:tcPr>
          <w:p>
            <w:r>
              <w:t xml:space="preserve">Global Median</w:t>
            </w:r>
          </w:p>
        </w:tc>
        <w:tc>
          <w:tcPr>
            <w:tcW w:type="dxa" w:w="4500"/>
            <w:shd w:fill="EAF2E7" w:val="clear"/>
          </w:tcPr>
          <w:p>
            <w:r>
              <w:t xml:space="preserve">182.59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KNN (k = 5)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95.12</w:t>
            </w:r>
          </w:p>
        </w:tc>
      </w:tr>
    </w:tbl>
    <w:p>
      <w:pPr>
        <w:spacing w:after="120"/>
      </w:pPr>
      <w:r>
        <w:t xml:space="preserve">KNN wins decisively: UnitPrice correlates with TotalPrice and Quantity, so borrowing information from the 5 nearest similar orders recovers roughly twice the accuracy of any single global statistic, which flattens the natural variance of the distribution.</w:t>
      </w:r>
    </w:p>
    <w:p>
      <w:pPr>
        <w:pStyle w:val="Heading1"/>
        <w:spacing w:after="150" w:before="300"/>
      </w:pPr>
      <w:r>
        <w:t xml:space="preserve">3. Outlier Detection &amp; Neutralization</w:t>
      </w:r>
    </w:p>
    <w:p>
      <w:pPr>
        <w:spacing w:after="120"/>
      </w:pPr>
      <w:r>
        <w:t xml:space="preserve">Outliers were tested with both the Interquartile Range (IQR, 1.5x bounds) and Z-score (|z| &gt; 3) methods across all four numeric fields.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8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IQR Lower</w:t>
            </w:r>
          </w:p>
        </w:tc>
        <w:tc>
          <w:tcPr>
            <w:tcW w:type="dxa" w:w="18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IQR Upper</w:t>
            </w:r>
          </w:p>
        </w:tc>
        <w:tc>
          <w:tcPr>
            <w:tcW w:type="dxa" w:w="18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IQR Outliers</w:t>
            </w:r>
          </w:p>
        </w:tc>
        <w:tc>
          <w:tcPr>
            <w:tcW w:type="dxa" w:w="18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Z-score Outliers (&gt;3)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t xml:space="preserve">Quantity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-1.00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7.00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0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0</w:t>
            </w:r>
          </w:p>
        </w:tc>
      </w:tr>
      <w:tr>
        <w:tc>
          <w:tcPr>
            <w:tcW w:type="dxa" w:w="1800"/>
            <w:shd w:fill="EAF2E7" w:val="clear"/>
          </w:tcPr>
          <w:p>
            <w:r>
              <w:t xml:space="preserve">UnitPrice</w:t>
            </w:r>
          </w:p>
        </w:tc>
        <w:tc>
          <w:tcPr>
            <w:tcW w:type="dxa" w:w="1800"/>
            <w:shd w:fill="EAF2E7" w:val="clear"/>
          </w:tcPr>
          <w:p>
            <w:r>
              <w:t xml:space="preserve">-317.20</w:t>
            </w:r>
          </w:p>
        </w:tc>
        <w:tc>
          <w:tcPr>
            <w:tcW w:type="dxa" w:w="1800"/>
            <w:shd w:fill="EAF2E7" w:val="clear"/>
          </w:tcPr>
          <w:p>
            <w:r>
              <w:t xml:space="preserve">1024.83</w:t>
            </w:r>
          </w:p>
        </w:tc>
        <w:tc>
          <w:tcPr>
            <w:tcW w:type="dxa" w:w="1800"/>
            <w:shd w:fill="EAF2E7" w:val="clear"/>
          </w:tcPr>
          <w:p>
            <w:r>
              <w:t xml:space="preserve">0</w:t>
            </w:r>
          </w:p>
        </w:tc>
        <w:tc>
          <w:tcPr>
            <w:tcW w:type="dxa" w:w="1800"/>
            <w:shd w:fill="EAF2E7" w:val="clear"/>
          </w:tcPr>
          <w:p>
            <w:r>
              <w:t xml:space="preserve">0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t xml:space="preserve">ItemsInCart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-0.50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11.50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0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0</w:t>
            </w:r>
          </w:p>
        </w:tc>
      </w:tr>
      <w:tr>
        <w:tc>
          <w:tcPr>
            <w:tcW w:type="dxa" w:w="1800"/>
            <w:shd w:fill="EAF2E7" w:val="clear"/>
          </w:tcPr>
          <w:p>
            <w:r>
              <w:t xml:space="preserve">TotalPrice</w:t>
            </w:r>
          </w:p>
        </w:tc>
        <w:tc>
          <w:tcPr>
            <w:tcW w:type="dxa" w:w="1800"/>
            <w:shd w:fill="EAF2E7" w:val="clear"/>
          </w:tcPr>
          <w:p>
            <w:r>
              <w:t xml:space="preserve">-1341.41</w:t>
            </w:r>
          </w:p>
        </w:tc>
        <w:tc>
          <w:tcPr>
            <w:tcW w:type="dxa" w:w="1800"/>
            <w:shd w:fill="EAF2E7" w:val="clear"/>
          </w:tcPr>
          <w:p>
            <w:r>
              <w:t xml:space="preserve">3330.41</w:t>
            </w:r>
          </w:p>
        </w:tc>
        <w:tc>
          <w:tcPr>
            <w:tcW w:type="dxa" w:w="1800"/>
            <w:shd w:fill="EAF2E7" w:val="clear"/>
          </w:tcPr>
          <w:p>
            <w:r>
              <w:t xml:space="preserve">8</w:t>
            </w:r>
          </w:p>
        </w:tc>
        <w:tc>
          <w:tcPr>
            <w:tcW w:type="dxa" w:w="1800"/>
            <w:shd w:fill="EAF2E7" w:val="clear"/>
          </w:tcPr>
          <w:p>
            <w:r>
              <w:t xml:space="preserve">0</w:t>
            </w:r>
          </w:p>
        </w:tc>
      </w:tr>
    </w:tbl>
    <w:p>
      <w:pPr>
        <w:spacing w:after="120"/>
      </w:pPr>
      <w:r>
        <w:t xml:space="preserve">Eight TotalPrice values exceeded the IQR upper bound (large orders with high quantity x high unit price). These were neutralized via winsorization (numpy.clip) rather than row deletion — capping preserves all 1,200 rows and the temporal/sequential integrity of the dataset, which row deletion would compromise.</w:t>
      </w:r>
    </w:p>
    <w:p>
      <w:pPr>
        <w:spacing w:after="200"/>
        <w:jc w:val="center"/>
      </w:pPr>
      <w:r>
        <w:drawing>
          <wp:inline distT="0" distB="0" distL="0" distR="0">
            <wp:extent cx="5524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Feature Engineering</w:t>
      </w:r>
    </w:p>
    <w:p>
      <w:pPr>
        <w:spacing w:after="120"/>
      </w:pPr>
      <w:r>
        <w:t xml:space="preserve">Six new predictive features were engineered from the existing columns: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OrderMonth / OrderYear / OrderDayOfWeek / IsWeekendOrder — decompose the raw timestamp into seasonality signals; a raw datetime carries no ordinal meaning to a numerical estimator.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CartConversionRate = Quantity / ItemsInCart — proxy for purchase intent vs. browsing/abandonment behavior.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RevenuePerCartItem = TotalPrice / ItemsInCart — captures basket value density for customer-value segmentation.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HasCoupon and DiscountedRevenueFlag — flag high-value orders that also redeemed a coupon, useful for margin-impact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OrderValueTier — quartile-based order-value segment (Low / Mid / High / Premium).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IsFailedOrder — binary flag for Cancelled/Returned orders, a natural target for a churn/logistics-risk classifier.</w:t>
      </w:r>
    </w:p>
    <w:p>
      <w:pPr>
        <w:spacing w:after="120"/>
      </w:pPr>
      <w:r>
        <w:t xml:space="preserve">Nominal categoricals (Product, PaymentMethod, ReferralSource, OrderValueTier) were one-hot encoded rather than label-encoded, avoiding the false ordinal distance that integer label encoding would introduce into the model's coordinate space.</w:t>
      </w:r>
    </w:p>
    <w:p>
      <w:pPr>
        <w:spacing w:after="200"/>
        <w:jc w:val="center"/>
      </w:pPr>
      <w:r>
        <w:drawing>
          <wp:inline distT="0" distB="0" distL="0" distR="0">
            <wp:extent cx="3048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3048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Multicollinearity Check</w:t>
      </w:r>
    </w:p>
    <w:p>
      <w:pPr>
        <w:spacing w:after="120"/>
      </w:pPr>
      <w:r>
        <w:t xml:space="preserve">A Pearson correlation matrix was computed across the core numeric and engineered features. No predictor pair exceeded the |r| &gt; 0.80 collinearity threshold.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Pair</w:t>
            </w:r>
          </w:p>
        </w:tc>
        <w:tc>
          <w:tcPr>
            <w:tcW w:type="dxa" w:w="45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Correlation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UnitPrice &lt;-&gt; RevenuePerCartItem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0.75</w:t>
            </w:r>
          </w:p>
        </w:tc>
      </w:tr>
      <w:tr>
        <w:tc>
          <w:tcPr>
            <w:tcW w:type="dxa" w:w="4500"/>
            <w:shd w:fill="EAF2E7" w:val="clear"/>
          </w:tcPr>
          <w:p>
            <w:r>
              <w:t xml:space="preserve">Quantity &lt;-&gt; ItemsInCart</w:t>
            </w:r>
          </w:p>
        </w:tc>
        <w:tc>
          <w:tcPr>
            <w:tcW w:type="dxa" w:w="4500"/>
            <w:shd w:fill="EAF2E7" w:val="clear"/>
          </w:tcPr>
          <w:p>
            <w:r>
              <w:t xml:space="preserve">0.65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UnitPrice &lt;-&gt; TotalPrice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0.72</w:t>
            </w:r>
          </w:p>
        </w:tc>
      </w:tr>
    </w:tbl>
    <w:p>
      <w:pPr>
        <w:spacing w:after="120"/>
      </w:pPr>
      <w:r>
        <w:t xml:space="preserve">Quantity, UnitPrice and ItemsInCart are independently sourced fields, so TotalPrice (their arithmetic product) is expectedly correlated with each factor individually — but no two independent input predictors are collinear with each other, so no features needed to be dropped.</w:t>
      </w:r>
    </w:p>
    <w:p>
      <w:pPr>
        <w:pStyle w:val="Heading1"/>
        <w:spacing w:after="150" w:before="300"/>
      </w:pPr>
      <w:r>
        <w:t xml:space="preserve">6. Deliverables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500"/>
            <w:shd w:fill="4F6F52" w:val="clear"/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orders_raw.csv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Parsed raw dataset (1,200 x 14)</w:t>
            </w:r>
          </w:p>
        </w:tc>
      </w:tr>
      <w:tr>
        <w:tc>
          <w:tcPr>
            <w:tcW w:type="dxa" w:w="4500"/>
            <w:shd w:fill="EAF2E7" w:val="clear"/>
          </w:tcPr>
          <w:p>
            <w:r>
              <w:t xml:space="preserve">orders_cleaned.csv</w:t>
            </w:r>
          </w:p>
        </w:tc>
        <w:tc>
          <w:tcPr>
            <w:tcW w:type="dxa" w:w="4500"/>
            <w:shd w:fill="EAF2E7" w:val="clear"/>
          </w:tcPr>
          <w:p>
            <w:r>
              <w:t xml:space="preserve">Cleaned + engineered features, human-readable categories (1,200 x 24)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orders_cleaned_encoded.csv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One-hot encoded, model-ready matrix (1,200 x 41)</w:t>
            </w:r>
          </w:p>
        </w:tc>
      </w:tr>
      <w:tr>
        <w:tc>
          <w:tcPr>
            <w:tcW w:type="dxa" w:w="4500"/>
            <w:shd w:fill="EAF2E7" w:val="clear"/>
          </w:tcPr>
          <w:p>
            <w:r>
              <w:t xml:space="preserve">pipeline.py</w:t>
            </w:r>
          </w:p>
        </w:tc>
        <w:tc>
          <w:tcPr>
            <w:tcW w:type="dxa" w:w="4500"/>
            <w:shd w:fill="EAF2E7" w:val="clear"/>
          </w:tcPr>
          <w:p>
            <w:r>
              <w:t xml:space="preserve">Full reproducible Python pipeline (EDA -&gt; imputation -&gt; outliers -&gt; features -&gt; correlation)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t xml:space="preserve">eda_report.md</w:t>
            </w:r>
          </w:p>
        </w:tc>
        <w:tc>
          <w:tcPr>
            <w:tcW w:type="dxa" w:w="4500"/>
            <w:shd w:fill="FFFFFF" w:val="clear"/>
          </w:tcPr>
          <w:p>
            <w:r>
              <w:t xml:space="preserve">Plain-text/markdown version of this report, auto-generated by the pipeline</w:t>
            </w:r>
          </w:p>
        </w:tc>
      </w:tr>
    </w:tbl>
    <w:p>
      <w:pPr>
        <w:spacing w:after="120"/>
      </w:pPr>
      <w:r>
        <w:rPr>
          <w:b/>
          <w:bCs/>
        </w:rPr>
        <w:t xml:space="preserve">Final cleaned dataset (pre-encoding): 1,200 rows x 24 columns.  Final model-ready encoded dataset: 1,200 rows x 41 columns.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56176e013f78c273bad1453b96c761e53a8bef.png"/><Relationship Id="rId8" Type="http://schemas.openxmlformats.org/officeDocument/2006/relationships/image" Target="media/6288d0f7d69748d568e65a23e9d6bfa880f3a94a.png"/><Relationship Id="rId9" Type="http://schemas.openxmlformats.org/officeDocument/2006/relationships/image" Target="media/3fde96ed939bb376d3ab659d170834adb7959c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2026-07-10T09:59:43.639Z</dcterms:created>
  <dcterms:modified xsi:type="dcterms:W3CDTF">2026-07-10T09:59:43.649Z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