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A2330" w:val="clear"/>
          </w:tcPr>
          <w:p>
            <w:pPr>
              <w:spacing w:before="4092"/>
            </w:pPr>
          </w:p>
          <w:p>
            <w:pPr>
              <w:pBdr>
                <w:bottom w:val="single" w:color="D4875A" w:sz="6" w:space="8"/>
              </w:pBdr>
              <w:spacing w:after="500"/>
              <w:ind w:left="1200" w:right="800"/>
            </w:pPr>
            <w:r>
              <w:rPr>
                <w:rFonts w:ascii="Calibri" w:eastAsia="SimHei"/>
                <w:color w:val="D4875A"/>
                <w:spacing w:val="40"/>
                <w:sz w:val="18"/>
                <w:szCs w:val="18"/>
              </w:rPr>
              <w:t xml:space="preserve">S  T  R  A  T  E  G  Y     B  L  U  E  P  R  I  N  T</w:t>
            </w:r>
          </w:p>
          <w:p>
            <w:pPr>
              <w:spacing w:after="100" w:line="920" w:lineRule="atLeast"/>
              <w:ind w:left="1200"/>
            </w:pPr>
            <w:r>
              <w:rPr>
                <w:rFonts w:ascii="Arial" w:eastAsia="SimHei"/>
                <w:b/>
                <w:bCs/>
                <w:color w:val="FFFFFF"/>
                <w:sz w:val="80"/>
                <w:szCs w:val="80"/>
              </w:rPr>
              <w:t xml:space="preserve">DevReady Product &amp;</w:t>
            </w:r>
          </w:p>
          <w:p>
            <w:pPr>
              <w:spacing w:after="300" w:line="920" w:lineRule="atLeast"/>
              <w:ind w:left="1200"/>
            </w:pPr>
            <w:r>
              <w:rPr>
                <w:rFonts w:ascii="Arial" w:eastAsia="SimHei"/>
                <w:b/>
                <w:bCs/>
                <w:color w:val="FFFFFF"/>
                <w:sz w:val="80"/>
                <w:szCs w:val="80"/>
              </w:rPr>
              <w:t xml:space="preserve">Growth Master Plan</w:t>
            </w:r>
          </w:p>
          <w:p>
            <w:pPr>
              <w:spacing w:after="800" w:line="340" w:lineRule="atLeast"/>
              <w:ind w:left="1200" w:right="800"/>
            </w:pPr>
            <w:r>
              <w:rPr>
                <w:rFonts w:ascii="Arial" w:eastAsia="Microsoft YaHei"/>
                <w:color w:val="B0B8C0"/>
                <w:sz w:val="24"/>
                <w:szCs w:val="24"/>
              </w:rPr>
              <w:t xml:space="preserve">Strategy for becoming the #1 interview-prep platform for Persian-speaking developers</w:t>
            </w:r>
          </w:p>
          <w:p>
            <w:pPr>
              <w:pBdr>
                <w:left w:val="single" w:color="D4875A" w:sz="8" w:space="12"/>
              </w:pBdr>
              <w:spacing w:after="80"/>
              <w:ind w:left="1400"/>
            </w:pPr>
            <w:r>
              <w:rPr>
                <w:rFonts w:ascii="Arial" w:eastAsia="Microsoft YaHei"/>
                <w:color w:val="90989F"/>
                <w:sz w:val="24"/>
                <w:szCs w:val="24"/>
              </w:rPr>
              <w:t xml:space="preserve">Prepared for: DevReady Founding Team</w:t>
            </w:r>
          </w:p>
          <w:p>
            <w:pPr>
              <w:pBdr>
                <w:left w:val="single" w:color="D4875A" w:sz="8" w:space="12"/>
              </w:pBdr>
              <w:spacing w:after="80"/>
              <w:ind w:left="1400"/>
            </w:pPr>
            <w:r>
              <w:rPr>
                <w:rFonts w:ascii="Arial" w:eastAsia="Microsoft YaHei"/>
                <w:color w:val="90989F"/>
                <w:sz w:val="24"/>
                <w:szCs w:val="24"/>
              </w:rPr>
              <w:t xml:space="preserve">Scope: Product · Content · Growth · Monetization</w:t>
            </w:r>
          </w:p>
          <w:p>
            <w:pPr>
              <w:pBdr>
                <w:left w:val="single" w:color="D4875A" w:sz="8" w:space="12"/>
              </w:pBdr>
              <w:spacing w:after="80"/>
              <w:ind w:left="1400"/>
            </w:pPr>
            <w:r>
              <w:rPr>
                <w:rFonts w:ascii="Arial" w:eastAsia="Microsoft YaHei"/>
                <w:color w:val="90989F"/>
                <w:sz w:val="24"/>
                <w:szCs w:val="24"/>
              </w:rPr>
              <w:t xml:space="preserve">Horizon: October 2026 – December 2027</w:t>
            </w:r>
          </w:p>
          <w:p>
            <w:pPr>
              <w:pBdr>
                <w:left w:val="single" w:color="D4875A" w:sz="8" w:space="12"/>
              </w:pBdr>
              <w:spacing w:after="80"/>
              <w:ind w:left="1400"/>
            </w:pPr>
            <w:r>
              <w:rPr>
                <w:rFonts w:ascii="Arial" w:eastAsia="Microsoft YaHei"/>
                <w:color w:val="90989F"/>
                <w:sz w:val="24"/>
                <w:szCs w:val="24"/>
              </w:rPr>
              <w:t xml:space="preserve">Version 1.0 — Final</w:t>
            </w:r>
          </w:p>
          <w:p>
            <w:pPr>
              <w:spacing w:before="4092"/>
            </w:pPr>
          </w:p>
          <w:p>
            <w:pPr>
              <w:pBdr>
                <w:top w:val="single" w:color="D4875A" w:sz="2" w:space="8"/>
              </w:pBdr>
              <w:spacing w:before="200"/>
              <w:ind w:left="1200" w:right="800"/>
            </w:pPr>
            <w:r>
              <w:rPr>
                <w:rFonts w:ascii="Arial"/>
                <w:color w:val="687078"/>
                <w:sz w:val="16"/>
                <w:szCs w:val="16"/>
              </w:rPr>
              <w:t xml:space="preserve">DevReady · Bilingual Interview-Prep Platform</w:t>
            </w:r>
            <w:r>
              <w:t xml:space="preserve">                                        </w:t>
            </w:r>
            <w:r>
              <w:rPr>
                <w:rFonts w:ascii="Arial"/>
                <w:color w:val="687078"/>
                <w:sz w:val="16"/>
                <w:szCs w:val="16"/>
              </w:rPr>
              <w:t xml:space="preserve">October 2026</w:t>
            </w:r>
          </w:p>
        </w:tc>
      </w:tr>
    </w:tbl>
    <w:p>
      <w:pPr>
        <w:sectPr>
          <w:pgSz w:w="11906" w:h="16838" w:orient="portrait"/>
          <w:pgMar w:top="0" w:right="0" w:bottom="0" w:left="0" w:header="708" w:footer="708" w:gutter="0"/>
          <w:docGrid w:linePitch="360"/>
        </w:sectPr>
      </w:pPr>
    </w:p>
    <w:p>
      <w:pPr>
        <w:spacing w:after="360" w:before="480" w:line="700" w:lineRule="atLeast"/>
        <w:jc w:val="center"/>
      </w:pPr>
      <w:r>
        <w:rPr>
          <w:rFonts w:ascii="Times New Roman" w:cs="Arial" w:eastAsia="SimHei" w:hAnsi="Times New Roman"/>
          <w:b/>
          <w:bCs/>
          <w:color w:val="1A2330"/>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r>
            <w:r>
              <w:rPr>
                <w:noProof/>
              </w:rPr>
              <w:t>1</w:t>
            </w:r>
            <w:r>
              <w:fldChar w:fldCharType="end"/>
            </w:r>
          </w:hyperlink>
        </w:p>
        <w:p>
          <w:pPr>
            <w:pStyle w:val="TOC1"/>
            <w:tabs>
              <w:tab w:val="right" w:leader="dot" w:pos="9026"/>
            </w:tabs>
            <w:spacing w:before="120" w:after="60"/>
          </w:pPr>
          <w:r>
            <w:t>2. Product Vision &amp; Positioning</w:t>
          </w:r>
          <w:r>
            <w:tab/>
          </w:r>
          <w:r>
            <w:t>2</w:t>
          </w:r>
        </w:p>
        <w:p>
          <w:pPr>
            <w:pStyle w:val="TOC2"/>
            <w:ind w:left="360"/>
            <w:tabs>
              <w:tab w:val="right" w:leader="dot" w:pos="9026"/>
            </w:tabs>
            <w:spacing w:before="120" w:after="60"/>
          </w:pPr>
          <w:r>
            <w:t>2.1 Positioning Statement</w:t>
          </w:r>
          <w:r>
            <w:tab/>
          </w:r>
          <w:r>
            <w:t>2</w:t>
          </w:r>
        </w:p>
        <w:p>
          <w:pPr>
            <w:pStyle w:val="TOC2"/>
            <w:ind w:left="360"/>
            <w:tabs>
              <w:tab w:val="right" w:leader="dot" w:pos="9026"/>
            </w:tabs>
            <w:spacing w:before="120" w:after="60"/>
          </w:pPr>
          <w:r>
            <w:t>2.2 User Personas</w:t>
          </w:r>
          <w:r>
            <w:tab/>
          </w:r>
          <w:r>
            <w:t>2</w:t>
          </w:r>
        </w:p>
        <w:p>
          <w:pPr>
            <w:pStyle w:val="TOC2"/>
            <w:ind w:left="360"/>
            <w:tabs>
              <w:tab w:val="right" w:leader="dot" w:pos="9026"/>
            </w:tabs>
            <w:spacing w:before="120" w:after="60"/>
          </w:pPr>
          <w:r>
            <w:t>2.3 Competitive Landscape and Unique Value Proposition</w:t>
          </w:r>
          <w:r>
            <w:tab/>
          </w:r>
          <w:r>
            <w:t>3</w:t>
          </w:r>
        </w:p>
        <w:p>
          <w:pPr>
            <w:pStyle w:val="TOC2"/>
            <w:ind w:left="360"/>
            <w:tabs>
              <w:tab w:val="right" w:leader="dot" w:pos="9026"/>
            </w:tabs>
            <w:spacing w:before="120" w:after="60"/>
          </w:pPr>
          <w:r>
            <w:t>2.4 Brand Personality and Emotional Promise</w:t>
          </w:r>
          <w:r>
            <w:tab/>
          </w:r>
          <w:r>
            <w:t>3</w:t>
          </w:r>
        </w:p>
        <w:p>
          <w:pPr>
            <w:pStyle w:val="TOC1"/>
            <w:tabs>
              <w:tab w:val="right" w:leader="dot" w:pos="9026"/>
            </w:tabs>
            <w:spacing w:before="120" w:after="60"/>
          </w:pPr>
          <w:r>
            <w:t>3. Core Product Improvements (Next 3–6 Months)</w:t>
          </w:r>
          <w:r>
            <w:tab/>
          </w:r>
          <w:r>
            <w:t>4</w:t>
          </w:r>
        </w:p>
        <w:p>
          <w:pPr>
            <w:pStyle w:val="TOC2"/>
            <w:ind w:left="360"/>
            <w:tabs>
              <w:tab w:val="right" w:leader="dot" w:pos="9026"/>
            </w:tabs>
            <w:spacing w:before="120" w:after="60"/>
          </w:pPr>
          <w:r>
            <w:t>3.1 Prioritized Backlog: Impact vs. Effort</w:t>
          </w:r>
          <w:r>
            <w:tab/>
          </w:r>
          <w:r>
            <w:t>4</w:t>
          </w:r>
        </w:p>
        <w:p>
          <w:pPr>
            <w:pStyle w:val="TOC2"/>
            <w:ind w:left="360"/>
            <w:tabs>
              <w:tab w:val="right" w:leader="dot" w:pos="9026"/>
            </w:tabs>
            <w:spacing w:before="120" w:after="60"/>
          </w:pPr>
          <w:r>
            <w:t>3.2 User Accounts and Privacy-First Cloud Sync</w:t>
          </w:r>
          <w:r>
            <w:tab/>
          </w:r>
          <w:r>
            <w:t>5</w:t>
          </w:r>
        </w:p>
        <w:p>
          <w:pPr>
            <w:pStyle w:val="TOC2"/>
            <w:ind w:left="360"/>
            <w:tabs>
              <w:tab w:val="right" w:leader="dot" w:pos="9026"/>
            </w:tabs>
            <w:spacing w:before="120" w:after="60"/>
          </w:pPr>
          <w:r>
            <w:t>3.3 Personalization and Adaptive Learning</w:t>
          </w:r>
          <w:r>
            <w:tab/>
          </w:r>
          <w:r>
            <w:t>6</w:t>
          </w:r>
        </w:p>
        <w:p>
          <w:pPr>
            <w:pStyle w:val="TOC2"/>
            <w:ind w:left="360"/>
            <w:tabs>
              <w:tab w:val="right" w:leader="dot" w:pos="9026"/>
            </w:tabs>
            <w:spacing w:before="120" w:after="60"/>
          </w:pPr>
          <w:r>
            <w:t>3.4 Interactive Content Layer</w:t>
          </w:r>
          <w:r>
            <w:tab/>
          </w:r>
          <w:r>
            <w:t>6</w:t>
          </w:r>
        </w:p>
        <w:p>
          <w:pPr>
            <w:pStyle w:val="TOC2"/>
            <w:ind w:left="360"/>
            <w:tabs>
              <w:tab w:val="right" w:leader="dot" w:pos="9026"/>
            </w:tabs>
            <w:spacing w:before="120" w:after="60"/>
          </w:pPr>
          <w:r>
            <w:t>3.5 AI Features Roadmap</w:t>
          </w:r>
          <w:r>
            <w:tab/>
          </w:r>
          <w:r>
            <w:t>7</w:t>
          </w:r>
        </w:p>
        <w:p>
          <w:pPr>
            <w:pStyle w:val="TOC2"/>
            <w:ind w:left="360"/>
            <w:tabs>
              <w:tab w:val="right" w:leader="dot" w:pos="9026"/>
            </w:tabs>
            <w:spacing w:before="120" w:after="60"/>
          </w:pPr>
          <w:r>
            <w:t>3.6 Gamification and Retention Systems</w:t>
          </w:r>
          <w:r>
            <w:tab/>
          </w:r>
          <w:r>
            <w:t>7</w:t>
          </w:r>
        </w:p>
        <w:p>
          <w:pPr>
            <w:pStyle w:val="TOC2"/>
            <w:ind w:left="360"/>
            <w:tabs>
              <w:tab w:val="right" w:leader="dot" w:pos="9026"/>
            </w:tabs>
            <w:spacing w:before="120" w:after="60"/>
          </w:pPr>
          <w:r>
            <w:t>3.7 Lightweight Community and Social Features</w:t>
          </w:r>
          <w:r>
            <w:tab/>
          </w:r>
          <w:r>
            <w:t>7</w:t>
          </w:r>
        </w:p>
        <w:p>
          <w:pPr>
            <w:pStyle w:val="TOC2"/>
            <w:ind w:left="360"/>
            <w:tabs>
              <w:tab w:val="right" w:leader="dot" w:pos="9026"/>
            </w:tabs>
            <w:spacing w:before="120" w:after="60"/>
          </w:pPr>
          <w:r>
            <w:t>3.8 Mobile Experience and PWA Strategy</w:t>
          </w:r>
          <w:r>
            <w:tab/>
          </w:r>
          <w:r>
            <w:t>8</w:t>
          </w:r>
        </w:p>
        <w:p>
          <w:pPr>
            <w:pStyle w:val="TOC1"/>
            <w:tabs>
              <w:tab w:val="right" w:leader="dot" w:pos="9026"/>
            </w:tabs>
            <w:spacing w:before="120" w:after="60"/>
          </w:pPr>
          <w:r>
            <w:t>4. Content Strategy</w:t>
          </w:r>
          <w:r>
            <w:tab/>
          </w:r>
          <w:r>
            <w:t>8</w:t>
          </w:r>
        </w:p>
        <w:p>
          <w:pPr>
            <w:pStyle w:val="TOC2"/>
            <w:ind w:left="360"/>
            <w:tabs>
              <w:tab w:val="right" w:leader="dot" w:pos="9026"/>
            </w:tabs>
            <w:spacing w:before="120" w:after="60"/>
          </w:pPr>
          <w:r>
            <w:t>4.1 Reducing External-Link Dependency and Defeating Link Rot</w:t>
          </w:r>
          <w:r>
            <w:tab/>
          </w:r>
          <w:r>
            <w:t>8</w:t>
          </w:r>
        </w:p>
        <w:p>
          <w:pPr>
            <w:pStyle w:val="TOC2"/>
            <w:ind w:left="360"/>
            <w:tabs>
              <w:tab w:val="right" w:leader="dot" w:pos="9026"/>
            </w:tabs>
            <w:spacing w:before="120" w:after="60"/>
          </w:pPr>
          <w:r>
            <w:t>4.2 Original Content Roadmap: What to Create First, and Why</w:t>
          </w:r>
          <w:r>
            <w:tab/>
          </w:r>
          <w:r>
            <w:t>8</w:t>
          </w:r>
        </w:p>
        <w:p>
          <w:pPr>
            <w:pStyle w:val="TOC2"/>
            <w:ind w:left="360"/>
            <w:tabs>
              <w:tab w:val="right" w:leader="dot" w:pos="9026"/>
            </w:tabs>
            <w:spacing w:before="120" w:after="60"/>
          </w:pPr>
          <w:r>
            <w:t>4.3 The Persian Content Advantage as a Real Moat</w:t>
          </w:r>
          <w:r>
            <w:tab/>
          </w:r>
          <w:r>
            <w:t>9</w:t>
          </w:r>
        </w:p>
        <w:p>
          <w:pPr>
            <w:pStyle w:val="TOC2"/>
            <w:ind w:left="360"/>
            <w:tabs>
              <w:tab w:val="right" w:leader="dot" w:pos="9026"/>
            </w:tabs>
            <w:spacing w:before="120" w:after="60"/>
          </w:pPr>
          <w:r>
            <w:t>4.4 Quality Control, Curation Standards, and Ongoing Maintenance</w:t>
          </w:r>
          <w:r>
            <w:tab/>
          </w:r>
          <w:r>
            <w:t>9</w:t>
          </w:r>
        </w:p>
        <w:p>
          <w:pPr>
            <w:pStyle w:val="TOC2"/>
            <w:ind w:left="360"/>
            <w:tabs>
              <w:tab w:val="right" w:leader="dot" w:pos="9026"/>
            </w:tabs>
            <w:spacing w:before="120" w:after="60"/>
          </w:pPr>
          <w:r>
            <w:t>4.5 Content Formats That Drive Retention</w:t>
          </w:r>
          <w:r>
            <w:tab/>
          </w:r>
          <w:r>
            <w:t>10</w:t>
          </w:r>
        </w:p>
        <w:p>
          <w:pPr>
            <w:pStyle w:val="TOC1"/>
            <w:tabs>
              <w:tab w:val="right" w:leader="dot" w:pos="9026"/>
            </w:tabs>
            <w:spacing w:before="120" w:after="60"/>
          </w:pPr>
          <w:r>
            <w:t>5. Growth &amp; Marketing Strategy</w:t>
          </w:r>
          <w:r>
            <w:tab/>
          </w:r>
          <w:r>
            <w:t>10</w:t>
          </w:r>
        </w:p>
        <w:p>
          <w:pPr>
            <w:pStyle w:val="TOC2"/>
            <w:ind w:left="360"/>
            <w:tabs>
              <w:tab w:val="right" w:leader="dot" w:pos="9026"/>
            </w:tabs>
            <w:spacing w:before="120" w:after="60"/>
          </w:pPr>
          <w:r>
            <w:t>5.1 Organic Growth Loops Built Into the Product</w:t>
          </w:r>
          <w:r>
            <w:tab/>
          </w:r>
          <w:r>
            <w:t>10</w:t>
          </w:r>
        </w:p>
        <w:p>
          <w:pPr>
            <w:pStyle w:val="TOC2"/>
            <w:ind w:left="360"/>
            <w:tabs>
              <w:tab w:val="right" w:leader="dot" w:pos="9026"/>
            </w:tabs>
            <w:spacing w:before="120" w:after="60"/>
          </w:pPr>
          <w:r>
            <w:t>5.2 Content Marketing and SEO Strategy</w:t>
          </w:r>
          <w:r>
            <w:tab/>
          </w:r>
          <w:r>
            <w:t>10</w:t>
          </w:r>
        </w:p>
        <w:p>
          <w:pPr>
            <w:pStyle w:val="TOC2"/>
            <w:ind w:left="360"/>
            <w:tabs>
              <w:tab w:val="right" w:leader="dot" w:pos="9026"/>
            </w:tabs>
            <w:spacing w:before="120" w:after="60"/>
          </w:pPr>
          <w:r>
            <w:t>5.3 Persian Tech Community Playbook (Telegram, X, LinkedIn, YouTube)</w:t>
          </w:r>
          <w:r>
            <w:tab/>
          </w:r>
          <w:r>
            <w:t>11</w:t>
          </w:r>
        </w:p>
        <w:p>
          <w:pPr>
            <w:pStyle w:val="TOC2"/>
            <w:ind w:left="360"/>
            <w:tabs>
              <w:tab w:val="right" w:leader="dot" w:pos="9026"/>
            </w:tabs>
            <w:spacing w:before="120" w:after="60"/>
          </w:pPr>
          <w:r>
            <w:t>5.4 Partnerships and Distribution Channels</w:t>
          </w:r>
          <w:r>
            <w:tab/>
          </w:r>
          <w:r>
            <w:t>11</w:t>
          </w:r>
        </w:p>
        <w:p>
          <w:pPr>
            <w:pStyle w:val="TOC2"/>
            <w:ind w:left="360"/>
            <w:tabs>
              <w:tab w:val="right" w:leader="dot" w:pos="9026"/>
            </w:tabs>
            <w:spacing w:before="120" w:after="60"/>
          </w:pPr>
          <w:r>
            <w:t>5.5 Referral and Viral Mechanics</w:t>
          </w:r>
          <w:r>
            <w:tab/>
          </w:r>
          <w:r>
            <w:t>12</w:t>
          </w:r>
        </w:p>
        <w:p>
          <w:pPr>
            <w:pStyle w:val="TOC2"/>
            <w:ind w:left="360"/>
            <w:tabs>
              <w:tab w:val="right" w:leader="dot" w:pos="9026"/>
            </w:tabs>
            <w:spacing w:before="120" w:after="60"/>
          </w:pPr>
          <w:r>
            <w:t>5.6 Launch and Ongoing Distribution Playbook</w:t>
          </w:r>
          <w:r>
            <w:tab/>
          </w:r>
          <w:r>
            <w:t>12</w:t>
          </w:r>
        </w:p>
        <w:p>
          <w:pPr>
            <w:pStyle w:val="TOC1"/>
            <w:tabs>
              <w:tab w:val="right" w:leader="dot" w:pos="9026"/>
            </w:tabs>
            <w:spacing w:before="120" w:after="60"/>
          </w:pPr>
          <w:r>
            <w:t>6. Monetization Strategy</w:t>
          </w:r>
          <w:r>
            <w:tab/>
          </w:r>
          <w:r>
            <w:t>12</w:t>
          </w:r>
        </w:p>
        <w:p>
          <w:pPr>
            <w:pStyle w:val="TOC2"/>
            <w:ind w:left="360"/>
            <w:tabs>
              <w:tab w:val="right" w:leader="dot" w:pos="9026"/>
            </w:tabs>
            <w:spacing w:before="120" w:after="60"/>
          </w:pPr>
          <w:r>
            <w:t>6.1 The Free-Forever Covenant and the Free/Pro Split</w:t>
          </w:r>
          <w:r>
            <w:tab/>
          </w:r>
          <w:r>
            <w:t>12</w:t>
          </w:r>
        </w:p>
        <w:p>
          <w:pPr>
            <w:pStyle w:val="TOC2"/>
            <w:ind w:left="360"/>
            <w:tabs>
              <w:tab w:val="right" w:leader="dot" w:pos="9026"/>
            </w:tabs>
            <w:spacing w:before="120" w:after="60"/>
          </w:pPr>
          <w:r>
            <w:t>6.2 Pricing Tiers and Conversion Logic</w:t>
          </w:r>
          <w:r>
            <w:tab/>
          </w:r>
          <w:r>
            <w:t>13</w:t>
          </w:r>
        </w:p>
        <w:p>
          <w:pPr>
            <w:pStyle w:val="TOC2"/>
            <w:ind w:left="360"/>
            <w:tabs>
              <w:tab w:val="right" w:leader="dot" w:pos="9026"/>
            </w:tabs>
            <w:spacing w:before="120" w:after="60"/>
          </w:pPr>
          <w:r>
            <w:t>6.3 The Iran Payment Reality, Handled Ethically</w:t>
          </w:r>
          <w:r>
            <w:tab/>
          </w:r>
          <w:r>
            <w:t>13</w:t>
          </w:r>
        </w:p>
        <w:p>
          <w:pPr>
            <w:pStyle w:val="TOC2"/>
            <w:ind w:left="360"/>
            <w:tabs>
              <w:tab w:val="right" w:leader="dot" w:pos="9026"/>
            </w:tabs>
            <w:spacing w:before="120" w:after="60"/>
          </w:pPr>
          <w:r>
            <w:t>6.4 B2B: Bootcamps, Companies, and Programs</w:t>
          </w:r>
          <w:r>
            <w:tab/>
          </w:r>
          <w:r>
            <w:t>13</w:t>
          </w:r>
        </w:p>
        <w:p>
          <w:pPr>
            <w:pStyle w:val="TOC2"/>
            <w:ind w:left="360"/>
            <w:tabs>
              <w:tab w:val="right" w:leader="dot" w:pos="9026"/>
            </w:tabs>
            <w:spacing w:before="120" w:after="60"/>
          </w:pPr>
          <w:r>
            <w:t>6.5 Ethical Monetization Principles</w:t>
          </w:r>
          <w:r>
            <w:tab/>
          </w:r>
          <w:r>
            <w:t>14</w:t>
          </w:r>
        </w:p>
        <w:p>
          <w:pPr>
            <w:pStyle w:val="TOC2"/>
            <w:ind w:left="360"/>
            <w:tabs>
              <w:tab w:val="right" w:leader="dot" w:pos="9026"/>
            </w:tabs>
            <w:spacing w:before="120" w:after="60"/>
          </w:pPr>
          <w:r>
            <w:t>6.6 Early Experiments Versus Later Scaling</w:t>
          </w:r>
          <w:r>
            <w:tab/>
          </w:r>
          <w:r>
            <w:t>14</w:t>
          </w:r>
        </w:p>
        <w:p>
          <w:pPr>
            <w:pStyle w:val="TOC1"/>
            <w:tabs>
              <w:tab w:val="right" w:leader="dot" w:pos="9026"/>
            </w:tabs>
            <w:spacing w:before="120" w:after="60"/>
          </w:pPr>
          <w:r>
            <w:t>7. 12-Month Technical &amp; Product Roadmap</w:t>
          </w:r>
          <w:r>
            <w:tab/>
          </w:r>
          <w:r>
            <w:t>15</w:t>
          </w:r>
        </w:p>
        <w:p>
          <w:pPr>
            <w:pStyle w:val="TOC2"/>
            <w:ind w:left="360"/>
            <w:tabs>
              <w:tab w:val="right" w:leader="dot" w:pos="9026"/>
            </w:tabs>
            <w:spacing w:before="120" w:after="60"/>
          </w:pPr>
          <w:r>
            <w:t>7.1 Phased Roadmap</w:t>
          </w:r>
          <w:r>
            <w:tab/>
          </w:r>
          <w:r>
            <w:t>15</w:t>
          </w:r>
        </w:p>
        <w:p>
          <w:pPr>
            <w:pStyle w:val="TOC2"/>
            <w:ind w:left="360"/>
            <w:tabs>
              <w:tab w:val="right" w:leader="dot" w:pos="9026"/>
            </w:tabs>
            <w:spacing w:before="120" w:after="60"/>
          </w:pPr>
          <w:r>
            <w:t>7.2 Metrics and Success Criteria per Phase</w:t>
          </w:r>
          <w:r>
            <w:tab/>
          </w:r>
          <w:r>
            <w:t>15</w:t>
          </w:r>
        </w:p>
        <w:p>
          <w:pPr>
            <w:pStyle w:val="TOC2"/>
            <w:ind w:left="360"/>
            <w:tabs>
              <w:tab w:val="right" w:leader="dot" w:pos="9026"/>
            </w:tabs>
            <w:spacing w:before="120" w:after="60"/>
          </w:pPr>
          <w:r>
            <w:t>7.3 Risks and Mitigations</w:t>
          </w:r>
          <w:r>
            <w:tab/>
          </w:r>
          <w:r>
            <w:t>16</w:t>
          </w:r>
        </w:p>
        <w:p>
          <w:pPr>
            <w:pStyle w:val="TOC2"/>
            <w:ind w:left="360"/>
            <w:tabs>
              <w:tab w:val="right" w:leader="dot" w:pos="9026"/>
            </w:tabs>
            <w:spacing w:before="120" w:after="60"/>
          </w:pPr>
          <w:r>
            <w:t>7.4 Team and Resource Assumptions</w:t>
          </w:r>
          <w:r>
            <w:tab/>
          </w:r>
          <w:r>
            <w:t>16</w:t>
          </w:r>
        </w:p>
        <w:p>
          <w:pPr>
            <w:pStyle w:val="TOC1"/>
            <w:tabs>
              <w:tab w:val="right" w:leader="dot" w:pos="9026"/>
            </w:tabs>
            <w:spacing w:before="120" w:after="60"/>
          </w:pPr>
          <w:r>
            <w:t>8. Quick Wins (Can Ship in 2–4 Weeks)</w:t>
          </w:r>
          <w:r>
            <w:tab/>
          </w:r>
          <w:r>
            <w:t>16</w:t>
          </w:r>
        </w:p>
        <w:p>
          <w:pPr>
            <w:pStyle w:val="TOC1"/>
            <w:tabs>
              <w:tab w:val="right" w:leader="dot" w:pos="9026"/>
            </w:tabs>
            <w:spacing w:before="120" w:after="60"/>
          </w:pPr>
          <w:r>
            <w:t>9. Long-Term Moat (2–3 Years)</w:t>
          </w:r>
          <w:r>
            <w:tab/>
          </w:r>
          <w:r>
            <w:t>17</w:t>
          </w:r>
        </w:p>
        <w:p>
          <w:pPr>
            <w:pStyle w:val="TOC2"/>
            <w:ind w:left="360"/>
            <w:tabs>
              <w:tab w:val="right" w:leader="dot" w:pos="9026"/>
            </w:tabs>
            <w:spacing w:before="120" w:after="60"/>
          </w:pPr>
          <w:r>
            <w:t>9.1 The Compounding Asset Stack</w:t>
          </w:r>
          <w:r>
            <w:tab/>
          </w:r>
          <w:r>
            <w:t>17</w:t>
          </w:r>
        </w:p>
        <w:p>
          <w:pPr>
            <w:pStyle w:val="TOC2"/>
            <w:ind w:left="360"/>
            <w:tabs>
              <w:tab w:val="right" w:leader="dot" w:pos="9026"/>
            </w:tabs>
            <w:spacing w:before="120" w:after="60"/>
          </w:pPr>
          <w:r>
            <w:t>9.2 What a Well-Funded Copycat Would Need to Replicate</w:t>
          </w:r>
          <w:r>
            <w:tab/>
          </w:r>
          <w:r>
            <w:t>17</w:t>
          </w:r>
        </w:p>
        <w:p>
          <w:pPr>
            <w:pStyle w:val="TOC2"/>
            <w:ind w:left="360"/>
            <w:tabs>
              <w:tab w:val="right" w:leader="dot" w:pos="9026"/>
            </w:tabs>
            <w:spacing w:before="120" w:after="60"/>
          </w:pPr>
          <w:r>
            <w:t>9.3 Strategic Guardrails</w:t>
          </w:r>
          <w:r>
            <w:tab/>
          </w:r>
          <w:r>
            <w:t>17</w:t>
          </w:r>
        </w:p>
        <w:p>
          <w:pPr>
            <w:pStyle w:val="TOC1"/>
            <w:tabs>
              <w:tab w:val="right" w:leader="dot" w:pos="9026"/>
            </w:tabs>
            <w:spacing w:before="120" w:after="60"/>
          </w:pPr>
          <w:r>
            <w:t>10. Appendices: Flows, Feature Specs &amp; Metric Definitions</w:t>
          </w:r>
          <w:r>
            <w:tab/>
          </w:r>
          <w:r>
            <w:t>18</w:t>
          </w:r>
        </w:p>
        <w:p>
          <w:pPr>
            <w:pStyle w:val="TOC2"/>
            <w:ind w:left="360"/>
            <w:tabs>
              <w:tab w:val="right" w:leader="dot" w:pos="9026"/>
            </w:tabs>
            <w:spacing w:before="120" w:after="60"/>
          </w:pPr>
          <w:r>
            <w:t>Appendix A. Example User Flows</w:t>
          </w:r>
          <w:r>
            <w:tab/>
          </w:r>
          <w:r>
            <w:t>18</w:t>
          </w:r>
        </w:p>
        <w:p>
          <w:pPr>
            <w:pStyle w:val="TOC3"/>
            <w:ind w:left="720"/>
            <w:tabs>
              <w:tab w:val="right" w:leader="dot" w:pos="9026"/>
            </w:tabs>
            <w:spacing w:before="120" w:after="60"/>
          </w:pPr>
          <w:r>
            <w:t>A.1 First-session onboarding flow</w:t>
          </w:r>
          <w:r>
            <w:tab/>
          </w:r>
          <w:r>
            <w:t>18</w:t>
          </w:r>
        </w:p>
        <w:p>
          <w:pPr>
            <w:pStyle w:val="TOC3"/>
            <w:ind w:left="720"/>
            <w:tabs>
              <w:tab w:val="right" w:leader="dot" w:pos="9026"/>
            </w:tabs>
            <w:spacing w:before="120" w:after="60"/>
          </w:pPr>
          <w:r>
            <w:t>A.2 Local-to-cloud sync and merge flow</w:t>
          </w:r>
          <w:r>
            <w:tab/>
          </w:r>
          <w:r>
            <w:t>20</w:t>
          </w:r>
        </w:p>
        <w:p>
          <w:pPr>
            <w:pStyle w:val="TOC3"/>
            <w:ind w:left="720"/>
            <w:tabs>
              <w:tab w:val="right" w:leader="dot" w:pos="9026"/>
            </w:tabs>
            <w:spacing w:before="120" w:after="60"/>
          </w:pPr>
          <w:r>
            <w:t>A.3 Referral share flow</w:t>
          </w:r>
          <w:r>
            <w:tab/>
          </w:r>
          <w:r>
            <w:t>21</w:t>
          </w:r>
        </w:p>
        <w:p>
          <w:pPr>
            <w:pStyle w:val="TOC2"/>
            <w:ind w:left="360"/>
            <w:tabs>
              <w:tab w:val="right" w:leader="dot" w:pos="9026"/>
            </w:tabs>
            <w:spacing w:before="120" w:after="60"/>
          </w:pPr>
          <w:r>
            <w:t>Appendix B. Interview Readiness Score v1 Specification</w:t>
          </w:r>
          <w:r>
            <w:tab/>
          </w:r>
          <w:r>
            <w:t>21</w:t>
          </w:r>
        </w:p>
        <w:p>
          <w:pPr>
            <w:pStyle w:val="TOC2"/>
            <w:ind w:left="360"/>
            <w:tabs>
              <w:tab w:val="right" w:leader="dot" w:pos="9026"/>
            </w:tabs>
            <w:spacing w:before="120" w:after="60"/>
          </w:pPr>
          <w:r>
            <w:t>Appendix C. Metric Definitions</w:t>
          </w:r>
          <w:r>
            <w:tab/>
          </w:r>
          <w:r>
            <w:t>22</w:t>
          </w:r>
        </w:p>
        <w:p>
          <w:r>
            <w:fldChar w:fldCharType="end"/>
          </w:r>
        </w:p>
      </w:sdtContent>
    </w:sdt>
    <w:p>
      <w:pPr>
        <w:spacing w:before="200" w:line="24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cs="Arial" w:eastAsia="SimSun" w:hAns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80" w:before="400" w:line="312"/>
      </w:pPr>
      <w:bookmarkStart w:name="_Toc1" w:id="1"/>
      <w:r>
        <w:rPr>
          <w:rFonts w:ascii="Times New Roman" w:cs="Arial" w:eastAsia="SimHei" w:hAnsi="Times New Roman"/>
          <w:b/>
          <w:bCs/>
          <w:color w:val="1A2330"/>
          <w:sz w:val="32"/>
          <w:szCs w:val="32"/>
        </w:rPr>
        <w:t xml:space="preserve">1. Executive Summary</w:t>
      </w:r>
      <w:bookmarkEnd w:id="1"/>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DevReady today is a genuinely differentiated product sitting on an under-exploited asset. </w:t>
      </w:r>
      <w:r>
        <w:rPr>
          <w:rFonts w:ascii="Times New Roman" w:cs="Arial" w:eastAsia="SimSun" w:hAnsi="Times New Roman"/>
          <w:b w:val="false"/>
          <w:bCs w:val="false"/>
          <w:i w:val="false"/>
          <w:iCs w:val="false"/>
          <w:color w:val="000000"/>
          <w:sz w:val="24"/>
          <w:szCs w:val="24"/>
        </w:rPr>
        <w:t xml:space="preserve">It ships 636+ hand-curated resources across 32 categories, fully bilingual in English and Persian with production-quality RTL support, a local-first progress system (bookmarks, in-progress, completed, personal notes) that requires no account, a Daily Challenge with progressive hints and streak tracking, a spaced-repetition Review Deck, and a multi-stage Roadmap with role paths and a weekly rhythm. </w:t>
      </w:r>
      <w:r>
        <w:rPr>
          <w:rFonts w:ascii="Times New Roman" w:cs="Arial" w:eastAsia="SimSun" w:hAnsi="Times New Roman"/>
          <w:b w:val="false"/>
          <w:bCs w:val="false"/>
          <w:i w:val="false"/>
          <w:iCs w:val="false"/>
          <w:color w:val="000000"/>
          <w:sz w:val="24"/>
          <w:szCs w:val="24"/>
        </w:rPr>
        <w:t xml:space="preserve">No competitor combines this breadth with a native Persian experience. </w:t>
      </w:r>
      <w:r>
        <w:rPr>
          <w:rFonts w:ascii="Times New Roman" w:cs="Arial" w:eastAsia="SimSun" w:hAnsi="Times New Roman"/>
          <w:b w:val="false"/>
          <w:bCs w:val="false"/>
          <w:i w:val="false"/>
          <w:iCs w:val="false"/>
          <w:color w:val="000000"/>
          <w:sz w:val="24"/>
          <w:szCs w:val="24"/>
        </w:rPr>
        <w:t xml:space="preserve">At the same time, the product has three structural constraints: there is no telemetry (so retention cannot currently be measured or managed), progress is trapped in the browser (so switching devices loses users), and most value is one click away on external sites (so the daily habit loop leaks).</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This plan is built on three strategic bets. </w:t>
      </w:r>
      <w:r>
        <w:rPr>
          <w:rFonts w:ascii="Times New Roman" w:cs="Arial" w:eastAsia="SimSun" w:hAnsi="Times New Roman"/>
          <w:b/>
          <w:bCs/>
          <w:i w:val="false"/>
          <w:iCs w:val="false"/>
          <w:color w:val="000000"/>
          <w:sz w:val="24"/>
          <w:szCs w:val="24"/>
        </w:rPr>
        <w:t xml:space="preserve">Bet 1 — the Persian-first moat: </w:t>
      </w:r>
      <w:r>
        <w:rPr>
          <w:rFonts w:ascii="Times New Roman" w:cs="Arial" w:eastAsia="SimSun" w:hAnsi="Times New Roman"/>
          <w:b w:val="false"/>
          <w:bCs w:val="false"/>
          <w:i w:val="false"/>
          <w:iCs w:val="false"/>
          <w:color w:val="000000"/>
          <w:sz w:val="24"/>
          <w:szCs w:val="24"/>
        </w:rPr>
        <w:t xml:space="preserve">GreatFrontEnd, NeetCode, roadmap.sh and the rest of the English-speaking competitive set will not plausibly invest in native, Persian-written content and RTL product craft. DevReady should own that entire stack — content corpus, community, and brand — while remaining strong in English. </w:t>
      </w:r>
      <w:r>
        <w:rPr>
          <w:rFonts w:ascii="Times New Roman" w:cs="Arial" w:eastAsia="SimSun" w:hAnsi="Times New Roman"/>
          <w:b/>
          <w:bCs/>
          <w:i w:val="false"/>
          <w:iCs w:val="false"/>
          <w:color w:val="000000"/>
          <w:sz w:val="24"/>
          <w:szCs w:val="24"/>
        </w:rPr>
        <w:t xml:space="preserve">Bet 2 — the local-to-account flywheel: </w:t>
      </w:r>
      <w:r>
        <w:rPr>
          <w:rFonts w:ascii="Times New Roman" w:cs="Arial" w:eastAsia="SimSun" w:hAnsi="Times New Roman"/>
          <w:b w:val="false"/>
          <w:bCs w:val="false"/>
          <w:i w:val="false"/>
          <w:iCs w:val="false"/>
          <w:color w:val="000000"/>
          <w:sz w:val="24"/>
          <w:szCs w:val="24"/>
        </w:rPr>
        <w:t xml:space="preserve">keep anonymous local mode as a first-class, never-coerced experience, and let optional accounts unlock sync, opt-in analytics, personalization, and paid intelligence. Trust is the wedge, not lock-in. </w:t>
      </w:r>
      <w:r>
        <w:rPr>
          <w:rFonts w:ascii="Times New Roman" w:cs="Arial" w:eastAsia="SimSun" w:hAnsi="Times New Roman"/>
          <w:b/>
          <w:bCs/>
          <w:i w:val="false"/>
          <w:iCs w:val="false"/>
          <w:color w:val="000000"/>
          <w:sz w:val="24"/>
          <w:szCs w:val="24"/>
        </w:rPr>
        <w:t xml:space="preserve">Bet 3 — the hybrid content engine: </w:t>
      </w:r>
      <w:r>
        <w:rPr>
          <w:rFonts w:ascii="Times New Roman" w:cs="Arial" w:eastAsia="SimSun" w:hAnsi="Times New Roman"/>
          <w:b w:val="false"/>
          <w:bCs w:val="false"/>
          <w:i w:val="false"/>
          <w:iCs w:val="false"/>
          <w:color w:val="000000"/>
          <w:sz w:val="24"/>
          <w:szCs w:val="24"/>
        </w:rPr>
        <w:t xml:space="preserve">curation wins breadth cheaply; original interactive content (a bilingual question bank, native digest cards, in-browser exercises) wins retention and defensibility. Every external link gains a native layer over time.</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sequencing logic is measure, activate, retain, then monetize. </w:t>
      </w:r>
      <w:r>
        <w:rPr>
          <w:rFonts w:ascii="Times New Roman" w:cs="Arial" w:eastAsia="SimSun" w:hAnsi="Times New Roman"/>
          <w:b w:val="false"/>
          <w:bCs w:val="false"/>
          <w:i w:val="false"/>
          <w:iCs w:val="false"/>
          <w:color w:val="000000"/>
          <w:sz w:val="24"/>
          <w:szCs w:val="24"/>
        </w:rPr>
        <w:t xml:space="preserve">Privacy-friendly analytics ship first because none of the targets below can be managed before they can be measured. </w:t>
      </w:r>
      <w:r>
        <w:rPr>
          <w:rFonts w:ascii="Times New Roman" w:cs="Arial" w:eastAsia="SimSun" w:hAnsi="Times New Roman"/>
          <w:b w:val="false"/>
          <w:bCs w:val="false"/>
          <w:i w:val="false"/>
          <w:iCs w:val="false"/>
          <w:color w:val="000000"/>
          <w:sz w:val="24"/>
          <w:szCs w:val="24"/>
        </w:rPr>
        <w:t xml:space="preserve">A quick-win pack (Next Best Action card, onboarding quiz, shareable progress card) lands within four weeks. Accounts and cloud sync land by the end of month three. The original question bank and the Pro tier launch together in months three to six, because paid value should coincide with the arrival of original interactive content. AI mock interviews and B2B follow in the second half once data and content support them.</w:t>
      </w:r>
    </w:p>
    <w:p>
      <w:pPr>
        <w:keepNext/>
        <w:spacing w:after="100" w:before="200" w:line="312"/>
        <w:jc w:val="left"/>
      </w:pPr>
      <w:r>
        <w:rPr>
          <w:rFonts w:ascii="Times New Roman" w:cs="Arial" w:eastAsia="SimSun" w:hAnsi="Times New Roman"/>
          <w:b/>
          <w:bCs/>
          <w:color w:val="1A2330"/>
          <w:sz w:val="21"/>
          <w:szCs w:val="21"/>
        </w:rPr>
        <w:t xml:space="preserve">Table 1.  </w:t>
      </w:r>
      <w:r>
        <w:rPr>
          <w:rFonts w:ascii="Times New Roman" w:cs="Arial" w:eastAsia="SimSun" w:hAnsi="Times New Roman"/>
          <w:color w:val="5A6572"/>
          <w:sz w:val="21"/>
          <w:szCs w:val="21"/>
        </w:rPr>
        <w:t xml:space="preserve">Headline 12-month targets (illustrative — to be re-based against the analytics baseline established in month 1).</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933"/>
        <w:gridCol w:w="2988"/>
        <w:gridCol w:w="1758"/>
        <w:gridCol w:w="2109"/>
      </w:tblGrid>
      <w:tr>
        <w:trPr>
          <w:cantSplit/>
          <w:tblHeader/>
        </w:trPr>
        <w:tc>
          <w:tcPr>
            <w:tcW w:type="pct" w:w="11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Metric</w:t>
            </w:r>
          </w:p>
        </w:tc>
        <w:tc>
          <w:tcPr>
            <w:tcW w:type="pct" w:w="17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Definition</w:t>
            </w:r>
          </w:p>
        </w:tc>
        <w:tc>
          <w:tcPr>
            <w:tcW w:type="pct" w:w="10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12-month target</w:t>
            </w:r>
          </w:p>
        </w:tc>
        <w:tc>
          <w:tcPr>
            <w:tcW w:type="pct" w:w="12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Why it matters</w:t>
            </w:r>
          </w:p>
        </w:tc>
      </w:tr>
      <w:tr>
        <w:trPr>
          <w:cantSplit/>
        </w:trPr>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North star: Weekly Active Preppers</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Users completing 3+ prep actions in a rolling week</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Baseline in M1; +20% quarter over quarter</w:t>
            </w:r>
          </w:p>
        </w:tc>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Counts habit, not visits</w:t>
            </w:r>
          </w:p>
        </w:tc>
      </w:tr>
      <w:tr>
        <w:trPr>
          <w:cantSplit/>
        </w:trPr>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Activation rate</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New users who bookmark 1+ resource, complete 1 resource and finish 1 Daily Challenge in their first session</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35% or higher</w:t>
            </w:r>
          </w:p>
        </w:tc>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First-session value predicts D30</w:t>
            </w:r>
          </w:p>
        </w:tc>
      </w:tr>
      <w:tr>
        <w:trPr>
          <w:cantSplit/>
        </w:trPr>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Day-7 retention</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Share of new users returning 7 days after first session</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18%+ (typical baseline: ~8%)</w:t>
            </w:r>
          </w:p>
        </w:tc>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Proves the daily loop works</w:t>
            </w:r>
          </w:p>
        </w:tc>
      </w:tr>
      <w:tr>
        <w:trPr>
          <w:cantSplit/>
        </w:trPr>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Day-30 retention</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Share returning at day 30</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10%+ (typical baseline: ~3.5%)</w:t>
            </w:r>
          </w:p>
        </w:tc>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Prep cycles last 8–16 weeks</w:t>
            </w:r>
          </w:p>
        </w:tc>
      </w:tr>
      <w:tr>
        <w:trPr>
          <w:cantSplit/>
        </w:trPr>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Streak persistence</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Activated users with a 7-day-or-longer streak</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25%+</w:t>
            </w:r>
          </w:p>
        </w:tc>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Streaks are the habit anchor</w:t>
            </w:r>
          </w:p>
        </w:tc>
      </w:tr>
      <w:tr>
        <w:trPr>
          <w:cantSplit/>
        </w:trPr>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Resource completion rate</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Started resources marked completed</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40%+</w:t>
            </w:r>
          </w:p>
        </w:tc>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Curation must convert to progress</w:t>
            </w:r>
          </w:p>
        </w:tc>
      </w:tr>
      <w:tr>
        <w:trPr>
          <w:cantSplit/>
        </w:trPr>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Free-to-Pro conversion</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Paying accounts over active accounts</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2–4%</w:t>
            </w:r>
          </w:p>
        </w:tc>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Sustains the small team</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What this plan deliberately does not do: it does not pivot the product, add social feeds, bolt on a mobile app prematurely, or paywall the library. </w:t>
      </w:r>
      <w:r>
        <w:rPr>
          <w:rFonts w:ascii="Times New Roman" w:cs="Arial" w:eastAsia="SimSun" w:hAnsi="Times New Roman"/>
          <w:b w:val="false"/>
          <w:bCs w:val="false"/>
          <w:i w:val="false"/>
          <w:iCs w:val="false"/>
          <w:color w:val="000000"/>
          <w:sz w:val="24"/>
          <w:szCs w:val="24"/>
        </w:rPr>
        <w:t xml:space="preserve">The calm, local-first, no-dark-patterns identity is the differentiator; every recommendation below either compounds it or carefully extends it. </w:t>
      </w:r>
      <w:r>
        <w:rPr>
          <w:rFonts w:ascii="Times New Roman" w:cs="Arial" w:eastAsia="SimSun" w:hAnsi="Times New Roman"/>
          <w:b w:val="false"/>
          <w:bCs w:val="false"/>
          <w:i w:val="false"/>
          <w:iCs w:val="false"/>
          <w:color w:val="000000"/>
          <w:sz w:val="24"/>
          <w:szCs w:val="24"/>
        </w:rPr>
        <w:t xml:space="preserve">Sections 8 and 7.1 are the immediately actionable core: a founding team can start on Section 8 the next working day.</w:t>
      </w:r>
    </w:p>
    <w:p>
      <w:pPr>
        <w:pStyle w:val="Heading1"/>
        <w:spacing w:after="180" w:before="400" w:line="312"/>
      </w:pPr>
      <w:bookmarkStart w:name="_Toc2" w:id="2"/>
      <w:r>
        <w:rPr>
          <w:rFonts w:ascii="Times New Roman" w:cs="Arial" w:eastAsia="SimHei" w:hAnsi="Times New Roman"/>
          <w:b/>
          <w:bCs/>
          <w:color w:val="1A2330"/>
          <w:sz w:val="32"/>
          <w:szCs w:val="32"/>
        </w:rPr>
        <w:t xml:space="preserve">2. Product Vision &amp; Positioning</w:t>
      </w:r>
      <w:bookmarkEnd w:id="2"/>
    </w:p>
    <w:p>
      <w:pPr>
        <w:pStyle w:val="Heading2"/>
        <w:spacing w:after="120" w:before="280" w:line="312"/>
      </w:pPr>
      <w:bookmarkStart w:name="_Toc3" w:id="3"/>
      <w:r>
        <w:rPr>
          <w:rFonts w:ascii="Times New Roman" w:cs="Arial" w:eastAsia="SimHei" w:hAnsi="Times New Roman"/>
          <w:b/>
          <w:bCs/>
          <w:color w:val="1A2330"/>
          <w:sz w:val="28"/>
          <w:szCs w:val="28"/>
        </w:rPr>
        <w:t xml:space="preserve">2.1 Positioning Statement</w:t>
      </w:r>
      <w:bookmarkEnd w:id="3"/>
    </w:p>
    <w:p>
      <w:pPr>
        <w:keepNext w:val="false"/>
        <w:spacing w:after="140" w:line="312"/>
        <w:jc w:val="left"/>
      </w:pPr>
      <w:r>
        <w:rPr>
          <w:rFonts w:ascii="Times New Roman" w:cs="Arial" w:eastAsia="SimSun" w:hAnsi="Times New Roman"/>
          <w:b/>
          <w:bCs/>
          <w:i w:val="false"/>
          <w:iCs w:val="false"/>
          <w:color w:val="000000"/>
          <w:sz w:val="24"/>
          <w:szCs w:val="24"/>
        </w:rPr>
        <w:t xml:space="preserve">Positioning statement: </w:t>
      </w:r>
      <w:r>
        <w:rPr>
          <w:rFonts w:ascii="Times New Roman" w:cs="Arial" w:eastAsia="SimSun" w:hAnsi="Times New Roman"/>
          <w:b w:val="false"/>
          <w:bCs w:val="false"/>
          <w:i w:val="false"/>
          <w:iCs w:val="false"/>
          <w:color w:val="000000"/>
          <w:sz w:val="24"/>
          <w:szCs w:val="24"/>
        </w:rPr>
        <w:t xml:space="preserve">“DevReady is the structured, bilingual home base that turns interview preparation from scattered internet chaos into one guided daily path — in English and Persian.” </w:t>
      </w:r>
      <w:r>
        <w:rPr>
          <w:rFonts w:ascii="Times New Roman" w:cs="Arial" w:eastAsia="SimSun" w:hAnsi="Times New Roman"/>
          <w:b w:val="false"/>
          <w:bCs w:val="false"/>
          <w:i w:val="false"/>
          <w:iCs w:val="false"/>
          <w:color w:val="000000"/>
          <w:sz w:val="24"/>
          <w:szCs w:val="24"/>
        </w:rPr>
        <w:t xml:space="preserve">Every word is load-bearing. “Home base” claims the hub position against link-farms and single-purpose question banks. “Structured” and “daily path” claim the guidance position against raw catalogs. “Bilingual” and “Persian” claim a market the entire competitive set currently ignores. </w:t>
      </w:r>
      <w:r>
        <w:rPr>
          <w:rFonts w:ascii="Times New Roman" w:cs="Arial" w:eastAsia="SimSun" w:hAnsi="Times New Roman"/>
          <w:b w:val="false"/>
          <w:bCs w:val="false"/>
          <w:i w:val="false"/>
          <w:iCs w:val="false"/>
          <w:color w:val="000000"/>
          <w:sz w:val="24"/>
          <w:szCs w:val="24"/>
        </w:rPr>
        <w:t xml:space="preserve">The short version for packaging and community channels: “Prepare properly. In your language.”</w:t>
      </w:r>
    </w:p>
    <w:p>
      <w:pPr>
        <w:pStyle w:val="Heading2"/>
        <w:spacing w:after="120" w:before="280" w:line="312"/>
      </w:pPr>
      <w:bookmarkStart w:name="_Toc4" w:id="4"/>
      <w:r>
        <w:rPr>
          <w:rFonts w:ascii="Times New Roman" w:cs="Arial" w:eastAsia="SimHei" w:hAnsi="Times New Roman"/>
          <w:b/>
          <w:bCs/>
          <w:color w:val="1A2330"/>
          <w:sz w:val="28"/>
          <w:szCs w:val="28"/>
        </w:rPr>
        <w:t xml:space="preserve">2.2 User Personas</w:t>
      </w:r>
      <w:bookmarkEnd w:id="4"/>
    </w:p>
    <w:p>
      <w:pPr>
        <w:keepNext w:val="false"/>
        <w:spacing w:after="140" w:line="312"/>
        <w:jc w:val="left"/>
      </w:pPr>
      <w:r>
        <w:rPr>
          <w:rFonts w:ascii="Times New Roman" w:cs="Arial" w:eastAsia="SimSun" w:hAnsi="Times New Roman"/>
          <w:b/>
          <w:bCs/>
          <w:i w:val="false"/>
          <w:iCs w:val="false"/>
          <w:color w:val="000000"/>
          <w:sz w:val="24"/>
          <w:szCs w:val="24"/>
        </w:rPr>
        <w:t xml:space="preserve">Primary persona — Amir, 26, mid-level frontend developer in Tehran. </w:t>
      </w:r>
      <w:r>
        <w:rPr>
          <w:rFonts w:ascii="Times New Roman" w:cs="Arial" w:eastAsia="SimSun" w:hAnsi="Times New Roman"/>
          <w:b w:val="false"/>
          <w:bCs w:val="false"/>
          <w:i w:val="false"/>
          <w:iCs w:val="false"/>
          <w:color w:val="000000"/>
          <w:sz w:val="24"/>
          <w:szCs w:val="24"/>
        </w:rPr>
        <w:t xml:space="preserve">Amir has three years of experience at a local product company, reads English documentation daily but thinks in Persian, and earns a fraction of what his counterparts make abroad, so remote and relocation roles are his real prize. He is disciplined but time-starved: he studies in the evening after work, mostly on one laptop, and his interview window is typically 8–16 weeks away. His pains are concrete: quality resources are scattered across English blogs, Telegram channels and YouTube; he cannot tell which of 40 React articles is actually interview-grade; and no tool remembers what he has already covered when he switches browsers. He wants a plan he can trust and a daily answer to “what should I do tonight?” DevReady's local-first bookmarking, Daily Challenge, and Persian explanations speak directly to him — and optional sync removes his biggest anxiety: losing months of progress.</w:t>
      </w:r>
    </w:p>
    <w:p>
      <w:pPr>
        <w:keepNext/>
        <w:spacing w:after="100" w:before="200" w:line="312"/>
        <w:jc w:val="left"/>
      </w:pPr>
      <w:r>
        <w:rPr>
          <w:rFonts w:ascii="Times New Roman" w:cs="Arial" w:eastAsia="SimSun" w:hAnsi="Times New Roman"/>
          <w:b/>
          <w:bCs/>
          <w:color w:val="1A2330"/>
          <w:sz w:val="21"/>
          <w:szCs w:val="21"/>
        </w:rPr>
        <w:t xml:space="preserve">Table 2.  </w:t>
      </w:r>
      <w:r>
        <w:rPr>
          <w:rFonts w:ascii="Times New Roman" w:cs="Arial" w:eastAsia="SimSun" w:hAnsi="Times New Roman"/>
          <w:color w:val="5A6572"/>
          <w:sz w:val="21"/>
          <w:szCs w:val="21"/>
        </w:rPr>
        <w:t xml:space="preserve">Persona map. Primary and secondary personas drive roadmap order; tertiary personas ride along.</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406"/>
        <w:gridCol w:w="2285"/>
        <w:gridCol w:w="2549"/>
        <w:gridCol w:w="2549"/>
      </w:tblGrid>
      <w:tr>
        <w:trPr>
          <w:cantSplit/>
          <w:tblHeader/>
        </w:trPr>
        <w:tc>
          <w:tcPr>
            <w:tcW w:type="pct" w:w="8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Persona</w:t>
            </w:r>
          </w:p>
        </w:tc>
        <w:tc>
          <w:tcPr>
            <w:tcW w:type="pct" w:w="13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Profile</w:t>
            </w:r>
          </w:p>
        </w:tc>
        <w:tc>
          <w:tcPr>
            <w:tcW w:type="pct" w:w="14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Core pains</w:t>
            </w:r>
          </w:p>
        </w:tc>
        <w:tc>
          <w:tcPr>
            <w:tcW w:type="pct" w:w="14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What they need from DevReady</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Amir — Persian-speaking dev in Iran</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Mid-level FE/full-stack, Tehran or Mashhad, targets remote or relocation, evening studier</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Resource chaos; no guidance; progress lost across devices; no Persian-first material; cannot pay for foreign subscriptions easily</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Guided roadmap, Daily Challenge habit loop, Persian-language depth, sync, regional-friendly pricing</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Sara — diaspora bootcamp grad</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Persian-speaking junior in Berlin or Toronto, switched careers, first job hunt underway</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Impostor syndrome; English-only prep feels twice as hard; needs structure more than content</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Bilingual reassurance, role paths, behavioral question bank, certificates of progress to share</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Ethan — English-speaking career switcher</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25–35, non-CS background, uses roadmap.sh and free handbooks today</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Overwhelmed by choices; wants one curated path with progress tracking and no account nagging</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 structured roadmap, local-first tracking, clean dark-mode UX; converts to Pro only if AI features prove value</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Neda — bootcamp operator (B2B)</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Runs a 30–100 student cohort at a bootcamp or community program</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No visibility into who is actually preparing; wants credible curriculum and reporting</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Cohort dashboards, curriculum mapping, readiness export; a per-seat license decision</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Two behavioral notes matter more than the demographics. </w:t>
      </w:r>
      <w:r>
        <w:rPr>
          <w:rFonts w:ascii="Times New Roman" w:cs="Arial" w:eastAsia="SimSun" w:hAnsi="Times New Roman"/>
          <w:b w:val="false"/>
          <w:bCs w:val="false"/>
          <w:i w:val="false"/>
          <w:iCs w:val="false"/>
          <w:color w:val="000000"/>
          <w:sz w:val="24"/>
          <w:szCs w:val="24"/>
        </w:rPr>
        <w:t xml:space="preserve">First, Persian-speaking developers are heavy Telegram users; community distribution (Section 5.3) must be Telegram-first, not Twitter-first. </w:t>
      </w:r>
      <w:r>
        <w:rPr>
          <w:rFonts w:ascii="Times New Roman" w:cs="Arial" w:eastAsia="SimSun" w:hAnsi="Times New Roman"/>
          <w:b w:val="false"/>
          <w:bCs w:val="false"/>
          <w:i w:val="false"/>
          <w:iCs w:val="false"/>
          <w:color w:val="000000"/>
          <w:sz w:val="24"/>
          <w:szCs w:val="24"/>
        </w:rPr>
        <w:t xml:space="preserve">Second, both Amir and Sara exhibit “progress anxiety” — the fear of losing accumulated study state. Local-first design created this trust; cloud sync (Section 3.2) converts it into accounts, which is the single highest-leverage product move in this plan.</w:t>
      </w:r>
    </w:p>
    <w:p>
      <w:pPr>
        <w:pStyle w:val="Heading2"/>
        <w:spacing w:after="120" w:before="280" w:line="312"/>
      </w:pPr>
      <w:bookmarkStart w:name="_Toc5" w:id="5"/>
      <w:r>
        <w:rPr>
          <w:rFonts w:ascii="Times New Roman" w:cs="Arial" w:eastAsia="SimHei" w:hAnsi="Times New Roman"/>
          <w:b/>
          <w:bCs/>
          <w:color w:val="1A2330"/>
          <w:sz w:val="28"/>
          <w:szCs w:val="28"/>
        </w:rPr>
        <w:t xml:space="preserve">2.3 Competitive Landscape and Unique Value Proposition</w:t>
      </w:r>
      <w:bookmarkEnd w:id="5"/>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market divides into four archetypes: question banks (LeetCode, GreatFrontEnd), video course libraries (NeetCode), roadmaps (roadmap.sh), and free handbooks (Frontend Interview Handbook). </w:t>
      </w:r>
      <w:r>
        <w:rPr>
          <w:rFonts w:ascii="Times New Roman" w:cs="Arial" w:eastAsia="SimSun" w:hAnsi="Times New Roman"/>
          <w:b w:val="false"/>
          <w:bCs w:val="false"/>
          <w:i w:val="false"/>
          <w:iCs w:val="false"/>
          <w:color w:val="000000"/>
          <w:sz w:val="24"/>
          <w:szCs w:val="24"/>
        </w:rPr>
        <w:t xml:space="preserve">All of them are English-first; none treats Persian speakers as a primary audience; none is local-first; and none couples a curation catalog with a daily habit loop. Pricing below was verified in October 2026 against public pricing pages.</w:t>
      </w:r>
    </w:p>
    <w:p>
      <w:pPr>
        <w:keepNext/>
        <w:spacing w:after="100" w:before="200" w:line="312"/>
        <w:jc w:val="left"/>
      </w:pPr>
      <w:r>
        <w:rPr>
          <w:rFonts w:ascii="Times New Roman" w:cs="Arial" w:eastAsia="SimSun" w:hAnsi="Times New Roman"/>
          <w:b/>
          <w:bCs/>
          <w:color w:val="1A2330"/>
          <w:sz w:val="21"/>
          <w:szCs w:val="21"/>
        </w:rPr>
        <w:t xml:space="preserve">Table 3.  </w:t>
      </w:r>
      <w:r>
        <w:rPr>
          <w:rFonts w:ascii="Times New Roman" w:cs="Arial" w:eastAsia="SimSun" w:hAnsi="Times New Roman"/>
          <w:color w:val="5A6572"/>
          <w:sz w:val="21"/>
          <w:szCs w:val="21"/>
        </w:rPr>
        <w:t xml:space="preserve">Competitor snapshot (public pricing verified October 2026) and the gap DevReady exploits.</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406"/>
        <w:gridCol w:w="2812"/>
        <w:gridCol w:w="1933"/>
        <w:gridCol w:w="2636"/>
      </w:tblGrid>
      <w:tr>
        <w:trPr>
          <w:cantSplit/>
          <w:tblHeader/>
        </w:trPr>
        <w:tc>
          <w:tcPr>
            <w:tcW w:type="pct" w:w="8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Platform</w:t>
            </w:r>
          </w:p>
        </w:tc>
        <w:tc>
          <w:tcPr>
            <w:tcW w:type="pct" w:w="16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Focus and model</w:t>
            </w:r>
          </w:p>
        </w:tc>
        <w:tc>
          <w:tcPr>
            <w:tcW w:type="pct" w:w="11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Verified pricing (Oct 2026)</w:t>
            </w:r>
          </w:p>
        </w:tc>
        <w:tc>
          <w:tcPr>
            <w:tcW w:type="pct" w:w="1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Gap DevReady exploits</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GreatFrontEnd</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500+ frontend questions, in-browser coding, prep plans by ex-interviewers</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$39/mo; $120/yr; $180 lifetime</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 price point; English-only; no daily habit loop; no Persian content</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NeetCode Pro</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DSA video courses, 300+ problems, AI hints (NeetBot), company tags, cloud sync</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$119/yr; $297 lifetime</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DSA-centric and Python-first; thin web-dev breadth; English-only; no curation layer</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roadmap.sh</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Community role roadmaps and guides; sponsorship-funded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Breadth without depth: no question bank, no tracking depth, no structured prep loop</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Frontend Interview Handbook</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 static handbook content funneling to GreatFrontEnd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Static reading only; no interactivity, tracking, or personalization</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Exponent</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SWE/PM interview prep with mocks; consumer plus B2B plans</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Subscription (consumer and company tiers)</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Generalist and comparatively expensive; English-only; enterprise feel rather than learner-calm</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unique value proposition is therefore a combination, not a single feature: </w:t>
      </w:r>
      <w:r>
        <w:rPr>
          <w:rFonts w:ascii="Times New Roman" w:cs="Arial" w:eastAsia="SimSun" w:hAnsi="Times New Roman"/>
          <w:b w:val="false"/>
          <w:bCs w:val="false"/>
          <w:i w:val="false"/>
          <w:iCs w:val="false"/>
          <w:color w:val="000000"/>
          <w:sz w:val="24"/>
          <w:szCs w:val="24"/>
        </w:rPr>
        <w:t xml:space="preserve">(a) native Persian and RTL product craft with a فارسی-only filter; (b) a free 636-resource curated library that competitors would need months to match; (c) a genuine habit loop — Daily Challenge with progressive hints, streaks, and a spaced-repetition Review Deck; and (d) local-first privacy as an identity, not a limitation. </w:t>
      </w:r>
      <w:r>
        <w:rPr>
          <w:rFonts w:ascii="Times New Roman" w:cs="Arial" w:eastAsia="SimSun" w:hAnsi="Times New Roman"/>
          <w:b w:val="false"/>
          <w:bCs w:val="false"/>
          <w:i w:val="false"/>
          <w:iCs w:val="false"/>
          <w:color w:val="000000"/>
          <w:sz w:val="24"/>
          <w:szCs w:val="24"/>
        </w:rPr>
        <w:t xml:space="preserve">Against a price leader like GreatFrontEnd, DevReady Pro can launch under half the price while the free tier already delivers what competitors gate. Against NeetCode, DevReady covers the full web-development interview surface — including behavioral, system design, and job-hunt skills that DSA course libraries ignore.</w:t>
      </w:r>
    </w:p>
    <w:p>
      <w:pPr>
        <w:pStyle w:val="Heading2"/>
        <w:spacing w:after="120" w:before="280" w:line="312"/>
      </w:pPr>
      <w:bookmarkStart w:name="_Toc6" w:id="6"/>
      <w:r>
        <w:rPr>
          <w:rFonts w:ascii="Times New Roman" w:cs="Arial" w:eastAsia="SimHei" w:hAnsi="Times New Roman"/>
          <w:b/>
          <w:bCs/>
          <w:color w:val="1A2330"/>
          <w:sz w:val="28"/>
          <w:szCs w:val="28"/>
        </w:rPr>
        <w:t xml:space="preserve">2.4 Brand Personality and Emotional Promise</w:t>
      </w:r>
      <w:bookmarkEnd w:id="6"/>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brand is “the trusted senior friend who already passed the interview.” </w:t>
      </w:r>
      <w:r>
        <w:rPr>
          <w:rFonts w:ascii="Times New Roman" w:cs="Arial" w:eastAsia="SimSun" w:hAnsi="Times New Roman"/>
          <w:b w:val="false"/>
          <w:bCs w:val="false"/>
          <w:i w:val="false"/>
          <w:iCs w:val="false"/>
          <w:color w:val="000000"/>
          <w:sz w:val="24"/>
          <w:szCs w:val="24"/>
        </w:rPr>
        <w:t xml:space="preserve">That person is calm, precise, encouraging, and allergic to hype. In a regional course market cluttered with inflated “guaranteed job” promises, restraint is a competitive weapon: DevReady never sells certainty, always shows the work, and treats learners as adults. The emotional promise is: </w:t>
      </w:r>
      <w:r>
        <w:rPr>
          <w:rFonts w:ascii="Times New Roman" w:cs="Arial" w:eastAsia="SimSun" w:hAnsi="Times New Roman"/>
          <w:b/>
          <w:bCs/>
          <w:i w:val="false"/>
          <w:iCs w:val="false"/>
          <w:color w:val="000000"/>
          <w:sz w:val="24"/>
          <w:szCs w:val="24"/>
        </w:rPr>
        <w:t xml:space="preserve">“You are not behind. You are on the path.”</w:t>
      </w:r>
      <w:r>
        <w:rPr>
          <w:rFonts w:ascii="Times New Roman" w:cs="Arial" w:eastAsia="SimSun" w:hAnsi="Times New Roman"/>
          <w:b w:val="false"/>
          <w:bCs w:val="false"/>
          <w:i w:val="false"/>
          <w:iCs w:val="false"/>
          <w:color w:val="000000"/>
          <w:sz w:val="24"/>
          <w:szCs w:val="24"/>
        </w:rPr>
        <w:t xml:space="preserve"> Interview preparation is emotionally expensive — anxiety, comparison, imposter feelings — and a product that lowers that temperature daily will be used daily.</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Voice rules follow from the personality: </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We say: </w:t>
      </w:r>
      <w:r>
        <w:rPr>
          <w:rFonts w:ascii="Times New Roman" w:cs="Arial" w:eastAsia="SimSun" w:hAnsi="Times New Roman"/>
          <w:b w:val="false"/>
          <w:bCs w:val="false"/>
          <w:i w:val="false"/>
          <w:iCs w:val="false"/>
          <w:color w:val="000000"/>
          <w:sz w:val="24"/>
          <w:szCs w:val="24"/>
        </w:rPr>
        <w:t xml:space="preserve">“Here is a model answer, and here is why it works” — show reasoning, cite sources, admit difficulty.</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We never say: </w:t>
      </w:r>
      <w:r>
        <w:rPr>
          <w:rFonts w:ascii="Times New Roman" w:cs="Arial" w:eastAsia="SimSun" w:hAnsi="Times New Roman"/>
          <w:b w:val="false"/>
          <w:bCs w:val="false"/>
          <w:i w:val="false"/>
          <w:iCs w:val="false"/>
          <w:color w:val="000000"/>
          <w:sz w:val="24"/>
          <w:szCs w:val="24"/>
        </w:rPr>
        <w:t xml:space="preserve">“Guaranteed offer,” “crush it in 7 days,” or fake urgency counters.</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Bilingual craft: </w:t>
      </w:r>
      <w:r>
        <w:rPr>
          <w:rFonts w:ascii="Times New Roman" w:cs="Arial" w:eastAsia="SimSun" w:hAnsi="Times New Roman"/>
          <w:b w:val="false"/>
          <w:bCs w:val="false"/>
          <w:i w:val="false"/>
          <w:iCs w:val="false"/>
          <w:color w:val="000000"/>
          <w:sz w:val="24"/>
          <w:szCs w:val="24"/>
        </w:rPr>
        <w:t xml:space="preserve">Persian is written natively by engineers, never machine-translated; technical terms stay in English inside Persian prose, matching how real Iranian developers actually talk.</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Dark-mode-first calm: </w:t>
      </w:r>
      <w:r>
        <w:rPr>
          <w:rFonts w:ascii="Times New Roman" w:cs="Arial" w:eastAsia="SimSun" w:hAnsi="Times New Roman"/>
          <w:b w:val="false"/>
          <w:bCs w:val="false"/>
          <w:i w:val="false"/>
          <w:iCs w:val="false"/>
          <w:color w:val="000000"/>
          <w:sz w:val="24"/>
          <w:szCs w:val="24"/>
        </w:rPr>
        <w:t xml:space="preserve">the existing light/dark design system, generous whitespace and Aceternity-style accents stay; retention mechanics must feel like encouragement, not manipulation.</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Layout w:type="fixed"/>
      </w:tblPr>
      <w:tblGrid>
        <w:gridCol w:w="8788"/>
      </w:tblGrid>
      <w:tr>
        <w:trPr>
          <w:cantSplit/>
        </w:trPr>
        <w:tc>
          <w:tcPr>
            <w:tcW w:type="pct" w:w="5000"/>
            <w:shd w:fill="F8F0EB" w:val="clear"/>
            <w:tcMar>
              <w:top w:type="dxa" w:w="110"/>
              <w:left w:type="dxa" w:w="160"/>
              <w:bottom w:type="dxa" w:w="110"/>
              <w:right w:type="dxa" w:w="160"/>
            </w:tcMar>
          </w:tcPr>
          <w:p>
            <w:pPr>
              <w:spacing w:after="60" w:line="312"/>
            </w:pPr>
            <w:r>
              <w:rPr>
                <w:rFonts w:ascii="Times New Roman" w:cs="Arial" w:eastAsia="SimSun" w:hAnsi="Times New Roman"/>
                <w:b/>
                <w:bCs/>
                <w:color w:val="1A2330"/>
                <w:sz w:val="22"/>
                <w:szCs w:val="22"/>
              </w:rPr>
              <w:t xml:space="preserve">Brand in one line</w:t>
            </w:r>
          </w:p>
          <w:p>
            <w:pPr>
              <w:spacing w:after="0" w:line="312"/>
            </w:pPr>
            <w:r>
              <w:rPr>
                <w:rFonts w:ascii="Times New Roman" w:cs="Arial" w:eastAsia="SimSun" w:hAnsi="Times New Roman"/>
                <w:b w:val="false"/>
                <w:bCs w:val="false"/>
                <w:i w:val="false"/>
                <w:iCs w:val="false"/>
                <w:color w:val="000000"/>
                <w:sz w:val="21"/>
                <w:szCs w:val="21"/>
              </w:rPr>
              <w:t xml:space="preserve">Structured, bilingual, honest. The calm alternative to interview-prep anxiety — and the only serious one built for Persian speakers from day one.</w:t>
            </w:r>
          </w:p>
        </w:tc>
      </w:tr>
    </w:tbl>
    <w:p>
      <w:pPr>
        <w:pStyle w:val="Heading1"/>
        <w:spacing w:after="180" w:before="400" w:line="312"/>
      </w:pPr>
      <w:bookmarkStart w:name="_Toc7" w:id="7"/>
      <w:r>
        <w:rPr>
          <w:rFonts w:ascii="Times New Roman" w:cs="Arial" w:eastAsia="SimHei" w:hAnsi="Times New Roman"/>
          <w:b/>
          <w:bCs/>
          <w:color w:val="1A2330"/>
          <w:sz w:val="32"/>
          <w:szCs w:val="32"/>
        </w:rPr>
        <w:t xml:space="preserve">3. Core Product Improvements (Next 3–6 Months)</w:t>
      </w:r>
      <w:bookmarkEnd w:id="7"/>
    </w:p>
    <w:p>
      <w:pPr>
        <w:pStyle w:val="Heading2"/>
        <w:spacing w:after="120" w:before="280" w:line="312"/>
      </w:pPr>
      <w:bookmarkStart w:name="_Toc8" w:id="8"/>
      <w:r>
        <w:rPr>
          <w:rFonts w:ascii="Times New Roman" w:cs="Arial" w:eastAsia="SimHei" w:hAnsi="Times New Roman"/>
          <w:b/>
          <w:bCs/>
          <w:color w:val="1A2330"/>
          <w:sz w:val="28"/>
          <w:szCs w:val="28"/>
        </w:rPr>
        <w:t xml:space="preserve">3.1 Prioritized Backlog: Impact vs. Effort</w:t>
      </w:r>
      <w:bookmarkEnd w:id="8"/>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backlog below is ranked for a small team (one full-time founding engineer, one part-time engineer, one part-time native content lead). </w:t>
      </w:r>
      <w:r>
        <w:rPr>
          <w:rFonts w:ascii="Times New Roman" w:cs="Arial" w:eastAsia="SimSun" w:hAnsi="Times New Roman"/>
          <w:b w:val="false"/>
          <w:bCs w:val="false"/>
          <w:i w:val="false"/>
          <w:iCs w:val="false"/>
          <w:color w:val="000000"/>
          <w:sz w:val="24"/>
          <w:szCs w:val="24"/>
        </w:rPr>
        <w:t xml:space="preserve">Impact scores weight retention and account-flywheel effects above polish; effort is calibrated so that 5 represents a full quarter of team capacity. </w:t>
      </w:r>
      <w:r>
        <w:rPr>
          <w:rFonts w:ascii="Times New Roman" w:cs="Arial" w:eastAsia="SimSun" w:hAnsi="Times New Roman"/>
          <w:b w:val="false"/>
          <w:bCs w:val="false"/>
          <w:i w:val="false"/>
          <w:iCs w:val="false"/>
          <w:color w:val="000000"/>
          <w:sz w:val="24"/>
          <w:szCs w:val="24"/>
        </w:rPr>
        <w:t xml:space="preserve">Everything rated “Must” lands within six months; “Should” items start within the window and may finish after it; “Nice” items are consciously deferred, not forgotten.</w:t>
      </w:r>
    </w:p>
    <w:p>
      <w:pPr>
        <w:keepNext/>
        <w:spacing w:after="80" w:before="160" w:line="312"/>
        <w:jc w:val="center"/>
      </w:pPr>
      <w:r>
        <w:drawing>
          <wp:inline distT="0" distB="0" distL="0" distR="0">
            <wp:extent cx="5334000" cy="3048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20" w:line="312"/>
        <w:jc w:val="center"/>
      </w:pPr>
      <w:r>
        <w:rPr>
          <w:rFonts w:ascii="Times New Roman" w:cs="Arial" w:eastAsia="SimSun" w:hAnsi="Times New Roman"/>
          <w:b/>
          <w:bCs/>
          <w:color w:val="1A2330"/>
          <w:sz w:val="18"/>
          <w:szCs w:val="18"/>
        </w:rPr>
        <w:t xml:space="preserve">Figure 1.  </w:t>
      </w:r>
      <w:r>
        <w:rPr>
          <w:rFonts w:ascii="Times New Roman" w:cs="Arial" w:eastAsia="SimSun" w:hAnsi="Times New Roman"/>
          <w:color w:val="5A6572"/>
          <w:sz w:val="18"/>
          <w:szCs w:val="18"/>
        </w:rPr>
        <w:t xml:space="preserve">Impact vs. effort assessment of the candidate backlog (illustrative scoring by the founding team; quadrant thresholds at effort 3 and impact 7.5).</w:t>
      </w:r>
    </w:p>
    <w:p>
      <w:pPr>
        <w:keepNext/>
        <w:spacing w:after="100" w:before="200" w:line="312"/>
        <w:jc w:val="left"/>
      </w:pPr>
      <w:r>
        <w:rPr>
          <w:rFonts w:ascii="Times New Roman" w:cs="Arial" w:eastAsia="SimSun" w:hAnsi="Times New Roman"/>
          <w:b/>
          <w:bCs/>
          <w:color w:val="1A2330"/>
          <w:sz w:val="21"/>
          <w:szCs w:val="21"/>
        </w:rPr>
        <w:t xml:space="preserve">Table 4.  </w:t>
      </w:r>
      <w:r>
        <w:rPr>
          <w:rFonts w:ascii="Times New Roman" w:cs="Arial" w:eastAsia="SimSun" w:hAnsi="Times New Roman"/>
          <w:color w:val="5A6572"/>
          <w:sz w:val="21"/>
          <w:szCs w:val="21"/>
        </w:rPr>
        <w:t xml:space="preserve">Prioritized feature backlog with rationale. Priority labels: Must / Should / Nice.</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2373"/>
        <w:gridCol w:w="1142"/>
        <w:gridCol w:w="879"/>
        <w:gridCol w:w="879"/>
        <w:gridCol w:w="3515"/>
      </w:tblGrid>
      <w:tr>
        <w:trPr>
          <w:cantSplit/>
          <w:tblHeader/>
        </w:trPr>
        <w:tc>
          <w:tcPr>
            <w:tcW w:type="pct" w:w="13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Feature</w:t>
            </w:r>
          </w:p>
        </w:tc>
        <w:tc>
          <w:tcPr>
            <w:tcW w:type="pct" w:w="6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Priority</w:t>
            </w:r>
          </w:p>
        </w:tc>
        <w:tc>
          <w:tcPr>
            <w:tcW w:type="pct" w:w="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Impact</w:t>
            </w:r>
          </w:p>
        </w:tc>
        <w:tc>
          <w:tcPr>
            <w:tcW w:type="pct" w:w="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Effort</w:t>
            </w:r>
          </w:p>
        </w:tc>
        <w:tc>
          <w:tcPr>
            <w:tcW w:type="pct" w:w="20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Rationale</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Privacy-first analytics (aggregate, opt-in)</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Must</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8.5</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1.0</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Nothing can be managed before it is measured; feeds every later decision</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Next Best Action + onboarding quiz</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Must</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8.0</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1.5</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Converts existing local data into a guided first session and daily answer</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Interview Readiness Score v1</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Must</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8.5</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2.5</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 single progress number drives return visits; spec in Appendix B</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PWA install + offline shell</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Must</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7.5</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2.0</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Habit products live on the home screen; enables reminders later</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Accounts + privacy-first cloud sync</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Must</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9.0</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3.5</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Unlocks multi-device retention, opt-in analytics, and all future revenue</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Original bilingual question bank v1 (100 questions)</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Must</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9.0</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4.0</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Retention asset and Pro anchor; feeds Daily Challenge and AI layers</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Build-time AI hints and summaries</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Should</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7.0</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3.0</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AI value with zero runtime API cost; preserves local-first architecture</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Interactive quizzes per resource</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Should</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7.5</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3.5</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Turns reading into practice; measurable completion lift</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Company guides (10, bilingual)</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Should</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6.5</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2.0</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High-intent SEO traffic and community sharing</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Community votes and short reviews</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Should</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6.0</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2.5</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Signals quality; builds contribution habit ahead of UGC scale</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Referral loop (give-get)</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Should</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6.0</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2.0</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Compounding organic growth on top of shareable artifacts</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AI mock interviews (runtime)</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Nice</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8.5</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5.0</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Pro anchor for year 2; requires accounts scale and cost controls first</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Adaptive plan engine</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Nice</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8.0</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4.5</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Needs months of behavioral data before it can beat the static roadmap</w:t>
            </w:r>
          </w:p>
        </w:tc>
      </w:tr>
      <w:tr>
        <w:trPr>
          <w:cantSplit/>
        </w:trPr>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Team dashboards (B2B)</w:t>
            </w:r>
          </w:p>
        </w:tc>
        <w:tc>
          <w:tcPr>
            <w:tcW w:type="pct" w:w="6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Nice</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6.5</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4.5</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Real revenue channel, but premature before consumer Pro validates</w:t>
            </w:r>
          </w:p>
        </w:tc>
      </w:tr>
    </w:tbl>
    <w:p>
      <w:pPr>
        <w:pStyle w:val="Heading2"/>
        <w:spacing w:after="120" w:before="280" w:line="312"/>
      </w:pPr>
      <w:bookmarkStart w:name="_Toc9" w:id="9"/>
      <w:r>
        <w:rPr>
          <w:rFonts w:ascii="Times New Roman" w:cs="Arial" w:eastAsia="SimHei" w:hAnsi="Times New Roman"/>
          <w:b/>
          <w:bCs/>
          <w:color w:val="1A2330"/>
          <w:sz w:val="28"/>
          <w:szCs w:val="28"/>
        </w:rPr>
        <w:t xml:space="preserve">3.2 User Accounts and Privacy-First Cloud Sync</w:t>
      </w:r>
      <w:bookmarkEnd w:id="9"/>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Accounts exist to serve the user, never to trap them. </w:t>
      </w:r>
      <w:r>
        <w:rPr>
          <w:rFonts w:ascii="Times New Roman" w:cs="Arial" w:eastAsia="SimSun" w:hAnsi="Times New Roman"/>
          <w:b w:val="false"/>
          <w:bCs w:val="false"/>
          <w:i w:val="false"/>
          <w:iCs w:val="false"/>
          <w:color w:val="000000"/>
          <w:sz w:val="24"/>
          <w:szCs w:val="24"/>
        </w:rPr>
        <w:t xml:space="preserve">The design principle is anonymous-first: every feature works without an account today and must keep working after accounts ship. </w:t>
      </w:r>
      <w:r>
        <w:rPr>
          <w:rFonts w:ascii="Times New Roman" w:cs="Arial" w:eastAsia="SimSun" w:hAnsi="Times New Roman"/>
          <w:b w:val="false"/>
          <w:bCs w:val="false"/>
          <w:i w:val="false"/>
          <w:iCs w:val="false"/>
          <w:color w:val="000000"/>
          <w:sz w:val="24"/>
          <w:szCs w:val="24"/>
        </w:rPr>
        <w:t xml:space="preserve">Sign-up uses an email magic link (no password storage, minimal surface), or Google/GitHub OAuth as convenience options. Account creation is offered at moments of felt need — after a first bookmark (“keep this safe across devices?”), after a 7-day streak (“protect your streak”), and before clearing browser data — never as an interstitial wall.</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Sync merges, it does not overwrite. </w:t>
      </w:r>
      <w:r>
        <w:rPr>
          <w:rFonts w:ascii="Times New Roman" w:cs="Arial" w:eastAsia="SimSun" w:hAnsi="Times New Roman"/>
          <w:b w:val="false"/>
          <w:bCs w:val="false"/>
          <w:i w:val="false"/>
          <w:iCs w:val="false"/>
          <w:color w:val="000000"/>
          <w:sz w:val="24"/>
          <w:szCs w:val="24"/>
        </w:rPr>
        <w:t xml:space="preserve">On login, the local state is pushed and merged server-side with per-key rules, so a user who studied on two devices loses nothing. Conflicts resolve by newest timestamp for scalar values (progress state per resource), set-union for collections (bookmarks, tags), and tombstones for deletions so an item deleted on one device does not resurrect from another. The full merge walkthrough is in Appendix A.2.</w:t>
      </w:r>
    </w:p>
    <w:p>
      <w:pPr>
        <w:keepNext/>
        <w:spacing w:after="100" w:before="200" w:line="312"/>
        <w:jc w:val="left"/>
      </w:pPr>
      <w:r>
        <w:rPr>
          <w:rFonts w:ascii="Times New Roman" w:cs="Arial" w:eastAsia="SimSun" w:hAnsi="Times New Roman"/>
          <w:b/>
          <w:bCs/>
          <w:color w:val="1A2330"/>
          <w:sz w:val="21"/>
          <w:szCs w:val="21"/>
        </w:rPr>
        <w:t xml:space="preserve">Table 5.  </w:t>
      </w:r>
      <w:r>
        <w:rPr>
          <w:rFonts w:ascii="Times New Roman" w:cs="Arial" w:eastAsia="SimSun" w:hAnsi="Times New Roman"/>
          <w:color w:val="5A6572"/>
          <w:sz w:val="21"/>
          <w:szCs w:val="21"/>
        </w:rPr>
        <w:t xml:space="preserve">Local storage keys (current schema) and their cloud-sync merge rule.</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2636"/>
        <w:gridCol w:w="3164"/>
        <w:gridCol w:w="2988"/>
      </w:tblGrid>
      <w:tr>
        <w:trPr>
          <w:cantSplit/>
          <w:tblHeader/>
        </w:trPr>
        <w:tc>
          <w:tcPr>
            <w:tcW w:type="pct" w:w="1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Data (localStorage key family)</w:t>
            </w:r>
          </w:p>
        </w:tc>
        <w:tc>
          <w:tcPr>
            <w:tcW w:type="pct" w:w="18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Contents</w:t>
            </w:r>
          </w:p>
        </w:tc>
        <w:tc>
          <w:tcPr>
            <w:tcW w:type="pct" w:w="17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Merge rule on sync</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Bookmarks</w:t>
            </w:r>
          </w:p>
        </w:tc>
        <w:tc>
          <w:tcPr>
            <w:tcW w:type="pct" w:w="1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Resource IDs saved by the user</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Union of both sets; deletes recorded as tombstones</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Progress (in-progress / completed)</w:t>
            </w:r>
          </w:p>
        </w:tc>
        <w:tc>
          <w:tcPr>
            <w:tcW w:type="pct" w:w="1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Per-resource status and timestamps</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Newest timestamp wins per resource; completion never regresses</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Personal notes</w:t>
            </w:r>
          </w:p>
        </w:tc>
        <w:tc>
          <w:tcPr>
            <w:tcW w:type="pct" w:w="1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Per-resource rich text</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Field-level newest-wins; append history kept 30 days for recovery</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Daily Challenge history and streak</w:t>
            </w:r>
          </w:p>
        </w:tc>
        <w:tc>
          <w:tcPr>
            <w:tcW w:type="pct" w:w="1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Completions, current streak, freezes</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Union of completion days; streak = longest active derivation</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Review Deck schedule</w:t>
            </w:r>
          </w:p>
        </w:tc>
        <w:tc>
          <w:tcPr>
            <w:tcW w:type="pct" w:w="1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Spaced-repetition card due dates</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Newest schedule wins per card</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Resource votes</w:t>
            </w:r>
          </w:p>
        </w:tc>
        <w:tc>
          <w:tcPr>
            <w:tcW w:type="pct" w:w="1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Difficulty votes cast</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Last vote wins per resource</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Preferences</w:t>
            </w:r>
          </w:p>
        </w:tc>
        <w:tc>
          <w:tcPr>
            <w:tcW w:type="pct" w:w="1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Language, theme, motion settings</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Explicit user choice wins; defaults never overwrite</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Privacy commitments, stated publicly on a plain-language page: </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Aggregate-only telemetry, opt-in. </w:t>
      </w:r>
      <w:r>
        <w:rPr>
          <w:rFonts w:ascii="Times New Roman" w:cs="Arial" w:eastAsia="SimSun" w:hAnsi="Times New Roman"/>
          <w:b w:val="false"/>
          <w:bCs w:val="false"/>
          <w:i w:val="false"/>
          <w:iCs w:val="false"/>
          <w:color w:val="000000"/>
          <w:sz w:val="24"/>
          <w:szCs w:val="24"/>
        </w:rPr>
        <w:t xml:space="preserve">Counts and funnels, never keystrokes or page dumps; the anonymous default stays fully functional.</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One-click JSON export of everything </w:t>
      </w:r>
      <w:r>
        <w:rPr>
          <w:rFonts w:ascii="Times New Roman" w:cs="Arial" w:eastAsia="SimSun" w:hAnsi="Times New Roman"/>
          <w:b w:val="false"/>
          <w:bCs w:val="false"/>
          <w:i w:val="false"/>
          <w:iCs w:val="false"/>
          <w:color w:val="000000"/>
          <w:sz w:val="24"/>
          <w:szCs w:val="24"/>
        </w:rPr>
        <w:t xml:space="preserve">(bookmarks, progress, notes, challenge history) — the export the local-first design already implies, now portable.</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Hard delete. </w:t>
      </w:r>
      <w:r>
        <w:rPr>
          <w:rFonts w:ascii="Times New Roman" w:cs="Arial" w:eastAsia="SimSun" w:hAnsi="Times New Roman"/>
          <w:b w:val="false"/>
          <w:bCs w:val="false"/>
          <w:i w:val="false"/>
          <w:iCs w:val="false"/>
          <w:color w:val="000000"/>
          <w:sz w:val="24"/>
          <w:szCs w:val="24"/>
        </w:rPr>
        <w:t xml:space="preserve">“Delete my account” purges server data within 24 hours and hands back a local export.</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No ads, no data sale, no third-party trackers </w:t>
      </w:r>
      <w:r>
        <w:rPr>
          <w:rFonts w:ascii="Times New Roman" w:cs="Arial" w:eastAsia="SimSun" w:hAnsi="Times New Roman"/>
          <w:b w:val="false"/>
          <w:bCs w:val="false"/>
          <w:i w:val="false"/>
          <w:iCs w:val="false"/>
          <w:color w:val="000000"/>
          <w:sz w:val="24"/>
          <w:szCs w:val="24"/>
        </w:rPr>
        <w:t xml:space="preserve">— stated in the same sentence as the pricing page, because in this market trust is marketing.</w:t>
      </w:r>
    </w:p>
    <w:p>
      <w:pPr>
        <w:pStyle w:val="Heading2"/>
        <w:spacing w:after="120" w:before="280" w:line="312"/>
      </w:pPr>
      <w:bookmarkStart w:name="_Toc10" w:id="10"/>
      <w:r>
        <w:rPr>
          <w:rFonts w:ascii="Times New Roman" w:cs="Arial" w:eastAsia="SimHei" w:hAnsi="Times New Roman"/>
          <w:b/>
          <w:bCs/>
          <w:color w:val="1A2330"/>
          <w:sz w:val="28"/>
          <w:szCs w:val="28"/>
        </w:rPr>
        <w:t xml:space="preserve">3.3 Personalization and Adaptive Learning</w:t>
      </w:r>
      <w:bookmarkEnd w:id="10"/>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current Roadmap (nine stages, role paths, weekly rhythm) is the skeleton; personalization makes it feel alive. </w:t>
      </w:r>
      <w:r>
        <w:rPr>
          <w:rFonts w:ascii="Times New Roman" w:cs="Arial" w:eastAsia="SimSun" w:hAnsi="Times New Roman"/>
          <w:b w:val="false"/>
          <w:bCs w:val="false"/>
          <w:i w:val="false"/>
          <w:iCs w:val="false"/>
          <w:color w:val="000000"/>
          <w:sz w:val="24"/>
          <w:szCs w:val="24"/>
        </w:rPr>
        <w:t xml:space="preserve">Version 1 is rule-based and ships quickly: an onboarding quiz (target role, timeline, self-rated strengths, hours per week) selects the role path, reorders roadmap emphasis, and seeds the Review Deck. </w:t>
      </w:r>
      <w:r>
        <w:rPr>
          <w:rFonts w:ascii="Times New Roman" w:cs="Arial" w:eastAsia="SimSun" w:hAnsi="Times New Roman"/>
          <w:b w:val="false"/>
          <w:bCs w:val="false"/>
          <w:i w:val="false"/>
          <w:iCs w:val="false"/>
          <w:color w:val="000000"/>
          <w:sz w:val="24"/>
          <w:szCs w:val="24"/>
        </w:rPr>
        <w:t xml:space="preserve">From that moment the home screen leads with a Next Best Action card computed from local state alone: due Review Deck cards first, then the Daily Challenge, then the next incomplete roadmap item, then an in-progress resource. One card, one primary button, in the user's language — this is the daily answer to “what now?” that turns a catalog into a coach.</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Interview Readiness Score (0–100) is the emotional engine of personalization; its full specification is Appendix B. </w:t>
      </w:r>
      <w:r>
        <w:rPr>
          <w:rFonts w:ascii="Times New Roman" w:cs="Arial" w:eastAsia="SimSun" w:hAnsi="Times New Roman"/>
          <w:b w:val="false"/>
          <w:bCs w:val="false"/>
          <w:i w:val="false"/>
          <w:iCs w:val="false"/>
          <w:color w:val="000000"/>
          <w:sz w:val="24"/>
          <w:szCs w:val="24"/>
        </w:rPr>
        <w:t xml:space="preserve">In short, it combines roadmap completion, challenge accuracy trend, review discipline, practice performance and consistency into one number the user can watch climb. </w:t>
      </w:r>
      <w:r>
        <w:rPr>
          <w:rFonts w:ascii="Times New Roman" w:cs="Arial" w:eastAsia="SimSun" w:hAnsi="Times New Roman"/>
          <w:b w:val="false"/>
          <w:bCs w:val="false"/>
          <w:i w:val="false"/>
          <w:iCs w:val="false"/>
          <w:color w:val="000000"/>
          <w:sz w:val="24"/>
          <w:szCs w:val="24"/>
        </w:rPr>
        <w:t xml:space="preserve">A genuinely adaptive engine (reordering content by weakness, ETAs, difficulty targeting) is a 6–12 month project that requires the behavioral data accounts provide; it is deliberately scheduled as “Nice” in the backlog because a rules-based system plus honest scores beats a premature algorithm nobody trusts.</w:t>
      </w:r>
    </w:p>
    <w:p>
      <w:pPr>
        <w:pStyle w:val="Heading2"/>
        <w:spacing w:after="120" w:before="280" w:line="312"/>
      </w:pPr>
      <w:bookmarkStart w:name="_Toc11" w:id="11"/>
      <w:r>
        <w:rPr>
          <w:rFonts w:ascii="Times New Roman" w:cs="Arial" w:eastAsia="SimHei" w:hAnsi="Times New Roman"/>
          <w:b/>
          <w:bCs/>
          <w:color w:val="1A2330"/>
          <w:sz w:val="28"/>
          <w:szCs w:val="28"/>
        </w:rPr>
        <w:t xml:space="preserve">3.4 Interactive Content Layer</w:t>
      </w:r>
      <w:bookmarkEnd w:id="11"/>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Curation brought breadth; interactivity creates time-on-product and completion. </w:t>
      </w:r>
      <w:r>
        <w:rPr>
          <w:rFonts w:ascii="Times New Roman" w:cs="Arial" w:eastAsia="SimSun" w:hAnsi="Times New Roman"/>
          <w:b w:val="false"/>
          <w:bCs w:val="false"/>
          <w:i w:val="false"/>
          <w:iCs w:val="false"/>
          <w:color w:val="000000"/>
          <w:sz w:val="24"/>
          <w:szCs w:val="24"/>
        </w:rPr>
        <w:t xml:space="preserve">Four formats are planned in order of build priority. </w:t>
      </w:r>
      <w:r>
        <w:rPr>
          <w:rFonts w:ascii="Times New Roman" w:cs="Arial" w:eastAsia="SimSun" w:hAnsi="Times New Roman"/>
          <w:b/>
          <w:bCs/>
          <w:i w:val="false"/>
          <w:iCs w:val="false"/>
          <w:color w:val="000000"/>
          <w:sz w:val="24"/>
          <w:szCs w:val="24"/>
        </w:rPr>
        <w:t xml:space="preserve">First, checkpoint quizzes: </w:t>
      </w:r>
      <w:r>
        <w:rPr>
          <w:rFonts w:ascii="Times New Roman" w:cs="Arial" w:eastAsia="SimSun" w:hAnsi="Times New Roman"/>
          <w:b w:val="false"/>
          <w:bCs w:val="false"/>
          <w:i w:val="false"/>
          <w:iCs w:val="false"/>
          <w:color w:val="000000"/>
          <w:sz w:val="24"/>
          <w:szCs w:val="24"/>
        </w:rPr>
        <w:t xml:space="preserve">three to five curated multiple-choice questions attached to top resources, gated on completion, feeding the Review Deck with missed items. </w:t>
      </w:r>
      <w:r>
        <w:rPr>
          <w:rFonts w:ascii="Times New Roman" w:cs="Arial" w:eastAsia="SimSun" w:hAnsi="Times New Roman"/>
          <w:b/>
          <w:bCs/>
          <w:i w:val="false"/>
          <w:iCs w:val="false"/>
          <w:color w:val="000000"/>
          <w:sz w:val="24"/>
          <w:szCs w:val="24"/>
        </w:rPr>
        <w:t xml:space="preserve">Second, the bilingual question bank: </w:t>
      </w:r>
      <w:r>
        <w:rPr>
          <w:rFonts w:ascii="Times New Roman" w:cs="Arial" w:eastAsia="SimSun" w:hAnsi="Times New Roman"/>
          <w:b w:val="false"/>
          <w:bCs w:val="false"/>
          <w:i w:val="false"/>
          <w:iCs w:val="false"/>
          <w:color w:val="000000"/>
          <w:sz w:val="24"/>
          <w:szCs w:val="24"/>
        </w:rPr>
        <w:t xml:space="preserve">100 original questions in year one with model answers, difficulty ratings, and progressive hints — the same hint ladder users already know from the Daily Challenge. </w:t>
      </w:r>
      <w:r>
        <w:rPr>
          <w:rFonts w:ascii="Times New Roman" w:cs="Arial" w:eastAsia="SimSun" w:hAnsi="Times New Roman"/>
          <w:b/>
          <w:bCs/>
          <w:i w:val="false"/>
          <w:iCs w:val="false"/>
          <w:color w:val="000000"/>
          <w:sz w:val="24"/>
          <w:szCs w:val="24"/>
        </w:rPr>
        <w:t xml:space="preserve">Third, in-browser exercises: </w:t>
      </w:r>
      <w:r>
        <w:rPr>
          <w:rFonts w:ascii="Times New Roman" w:cs="Arial" w:eastAsia="SimSun" w:hAnsi="Times New Roman"/>
          <w:b w:val="false"/>
          <w:bCs w:val="false"/>
          <w:i w:val="false"/>
          <w:iCs w:val="false"/>
          <w:color w:val="000000"/>
          <w:sz w:val="24"/>
          <w:szCs w:val="24"/>
        </w:rPr>
        <w:t xml:space="preserve">small JavaScript and React tasks executed in a sandboxed iframe against visible test assertions; no backend judge is required for the v1 scope, which keeps cost near zero. </w:t>
      </w:r>
      <w:r>
        <w:rPr>
          <w:rFonts w:ascii="Times New Roman" w:cs="Arial" w:eastAsia="SimSun" w:hAnsi="Times New Roman"/>
          <w:b/>
          <w:bCs/>
          <w:i w:val="false"/>
          <w:iCs w:val="false"/>
          <w:color w:val="000000"/>
          <w:sz w:val="24"/>
          <w:szCs w:val="24"/>
        </w:rPr>
        <w:t xml:space="preserve">Fourth, notes-to-flashcards: </w:t>
      </w:r>
      <w:r>
        <w:rPr>
          <w:rFonts w:ascii="Times New Roman" w:cs="Arial" w:eastAsia="SimSun" w:hAnsi="Times New Roman"/>
          <w:b w:val="false"/>
          <w:bCs w:val="false"/>
          <w:i w:val="false"/>
          <w:iCs w:val="false"/>
          <w:color w:val="000000"/>
          <w:sz w:val="24"/>
          <w:szCs w:val="24"/>
        </w:rPr>
        <w:t xml:space="preserve">a one-tap conversion of a user's own note into a Review Deck card, closing the loop between personal notes and spaced repetition.</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Every external link also gains a native “digest card” — a 200–400 word DevReady-written summary with the key takeaways rendered in-app (details in Section 4.1). </w:t>
      </w:r>
      <w:r>
        <w:rPr>
          <w:rFonts w:ascii="Times New Roman" w:cs="Arial" w:eastAsia="SimSun" w:hAnsi="Times New Roman"/>
          <w:b w:val="false"/>
          <w:bCs w:val="false"/>
          <w:i w:val="false"/>
          <w:iCs w:val="false"/>
          <w:color w:val="000000"/>
          <w:sz w:val="24"/>
          <w:szCs w:val="24"/>
        </w:rPr>
        <w:t xml:space="preserve">The digest card is the bridge between curation and original content: the user gets value even before clicking out, and DevReady accumulates an original corpus as a side effect of maintaining quality.</w:t>
      </w:r>
    </w:p>
    <w:p>
      <w:pPr>
        <w:pStyle w:val="Heading2"/>
        <w:spacing w:after="120" w:before="280" w:line="312"/>
      </w:pPr>
      <w:bookmarkStart w:name="_Toc12" w:id="12"/>
      <w:r>
        <w:rPr>
          <w:rFonts w:ascii="Times New Roman" w:cs="Arial" w:eastAsia="SimHei" w:hAnsi="Times New Roman"/>
          <w:b/>
          <w:bCs/>
          <w:color w:val="1A2330"/>
          <w:sz w:val="28"/>
          <w:szCs w:val="28"/>
        </w:rPr>
        <w:t xml:space="preserve">3.5 AI Features Roadmap</w:t>
      </w:r>
      <w:bookmarkEnd w:id="12"/>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AI is sequenced so that cost and architecture stay compatible with a local-first, small-team product. </w:t>
      </w:r>
      <w:r>
        <w:rPr>
          <w:rFonts w:ascii="Times New Roman" w:cs="Arial" w:eastAsia="SimSun" w:hAnsi="Times New Roman"/>
          <w:b w:val="false"/>
          <w:bCs w:val="false"/>
          <w:i w:val="false"/>
          <w:iCs w:val="false"/>
          <w:color w:val="000000"/>
          <w:sz w:val="24"/>
          <w:szCs w:val="24"/>
        </w:rPr>
        <w:t xml:space="preserve">The key insight: build-time AI — generating hints, summaries, distractors and translations offline and shipping them as static content — delivers most learner value at zero marginal inference cost and keeps the product fully functional offline and in restricted-network regions. </w:t>
      </w:r>
      <w:r>
        <w:rPr>
          <w:rFonts w:ascii="Times New Roman" w:cs="Arial" w:eastAsia="SimSun" w:hAnsi="Times New Roman"/>
          <w:b w:val="false"/>
          <w:bCs w:val="false"/>
          <w:i w:val="false"/>
          <w:iCs w:val="false"/>
          <w:color w:val="000000"/>
          <w:sz w:val="24"/>
          <w:szCs w:val="24"/>
        </w:rPr>
        <w:t xml:space="preserve">Runtime AI (live mock interviews) arrives only with Pro revenue, hard rate limits, and accounts infrastructure behind it.</w:t>
      </w:r>
    </w:p>
    <w:p>
      <w:pPr>
        <w:keepNext/>
        <w:spacing w:after="100" w:before="200" w:line="312"/>
        <w:jc w:val="left"/>
      </w:pPr>
      <w:r>
        <w:rPr>
          <w:rFonts w:ascii="Times New Roman" w:cs="Arial" w:eastAsia="SimSun" w:hAnsi="Times New Roman"/>
          <w:b/>
          <w:bCs/>
          <w:color w:val="1A2330"/>
          <w:sz w:val="21"/>
          <w:szCs w:val="21"/>
        </w:rPr>
        <w:t xml:space="preserve">Table 6.  </w:t>
      </w:r>
      <w:r>
        <w:rPr>
          <w:rFonts w:ascii="Times New Roman" w:cs="Arial" w:eastAsia="SimSun" w:hAnsi="Times New Roman"/>
          <w:color w:val="5A6572"/>
          <w:sz w:val="21"/>
          <w:szCs w:val="21"/>
        </w:rPr>
        <w:t xml:space="preserve">AI roadmap. Build-time features ship as static content; runtime features are Pro-tier and rate-limited.</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879"/>
        <w:gridCol w:w="2900"/>
        <w:gridCol w:w="2461"/>
        <w:gridCol w:w="1758"/>
        <w:gridCol w:w="791"/>
      </w:tblGrid>
      <w:tr>
        <w:trPr>
          <w:cantSplit/>
          <w:tblHeader/>
        </w:trPr>
        <w:tc>
          <w:tcPr>
            <w:tcW w:type="pct" w:w="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Phase</w:t>
            </w:r>
          </w:p>
        </w:tc>
        <w:tc>
          <w:tcPr>
            <w:tcW w:type="pct" w:w="16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Feature</w:t>
            </w:r>
          </w:p>
        </w:tc>
        <w:tc>
          <w:tcPr>
            <w:tcW w:type="pct" w:w="14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User value</w:t>
            </w:r>
          </w:p>
        </w:tc>
        <w:tc>
          <w:tcPr>
            <w:tcW w:type="pct" w:w="10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Cost control</w:t>
            </w:r>
          </w:p>
        </w:tc>
        <w:tc>
          <w:tcPr>
            <w:tcW w:type="pct" w:w="4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Tier</w:t>
            </w:r>
          </w:p>
        </w:tc>
      </w:tr>
      <w:tr>
        <w:trPr>
          <w:cantSplit/>
        </w:trPr>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A1</w:t>
            </w:r>
          </w:p>
        </w:tc>
        <w:tc>
          <w:tcPr>
            <w:tcW w:type="pct" w:w="16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Pre-generated hints per question (3-step ladders) and per-resource summaries/digest cards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Always-available scaffolding; value before the click-out</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Generated at build time; stored in repo; zero runtime cost</w:t>
            </w:r>
          </w:p>
        </w:tc>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w:t>
            </w:r>
          </w:p>
        </w:tc>
      </w:tr>
      <w:tr>
        <w:trPr>
          <w:cantSplit/>
        </w:trPr>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A2</w:t>
            </w:r>
          </w:p>
        </w:tc>
        <w:tc>
          <w:tcPr>
            <w:tcW w:type="pct" w:w="16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Smart recommendations: embedding similarity between user gaps (missed topics) and catalog</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“Because you missed X, study Y next”</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Monthly batch re-embedding; retrieval runs client-side or on edge</w:t>
            </w:r>
          </w:p>
        </w:tc>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w:t>
            </w:r>
          </w:p>
        </w:tc>
      </w:tr>
      <w:tr>
        <w:trPr>
          <w:cantSplit/>
        </w:trPr>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w:t>
            </w:r>
          </w:p>
        </w:tc>
        <w:tc>
          <w:tcPr>
            <w:tcW w:type="pct" w:w="16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AI mock interview: chat-based questioning with rubric-structured feedback (correctness, complexity, communication)</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Realistic practice without scheduling a partner</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Runtime LLM with hard monthly quotas; cached rubrics; small-model routing</w:t>
            </w:r>
          </w:p>
        </w:tc>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Pro</w:t>
            </w:r>
          </w:p>
        </w:tc>
      </w:tr>
      <w:tr>
        <w:trPr>
          <w:cantSplit/>
        </w:trPr>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w:t>
            </w:r>
          </w:p>
        </w:tc>
        <w:tc>
          <w:tcPr>
            <w:tcW w:type="pct" w:w="16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Persian-language answer evaluation</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The only tool that scores Persian technical answers — unique dataset and moat</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Fine-tuned evaluation on accumulated bilingual answers; batch analysis</w:t>
            </w:r>
          </w:p>
        </w:tc>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Pro</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A regional constraint becomes an architectural advantage here. </w:t>
      </w:r>
      <w:r>
        <w:rPr>
          <w:rFonts w:ascii="Times New Roman" w:cs="Arial" w:eastAsia="SimSun" w:hAnsi="Times New Roman"/>
          <w:b w:val="false"/>
          <w:bCs w:val="false"/>
          <w:i w:val="false"/>
          <w:iCs w:val="false"/>
          <w:color w:val="000000"/>
          <w:sz w:val="24"/>
          <w:szCs w:val="24"/>
        </w:rPr>
        <w:t xml:space="preserve">Sanctions and network restrictions make direct third-party AI API access unreliable for Iran-based users; because Phases A1/A2 are build-time, Persian-speaking users get AI-derived value with no dependency on runtime access, and Phase B/C runtime features are later served through the same regional partner infrastructure used for payments (Section 6.3). </w:t>
      </w:r>
      <w:r>
        <w:rPr>
          <w:rFonts w:ascii="Times New Roman" w:cs="Arial" w:eastAsia="SimSun" w:hAnsi="Times New Roman"/>
          <w:b w:val="false"/>
          <w:bCs w:val="false"/>
          <w:i w:val="false"/>
          <w:iCs w:val="false"/>
          <w:color w:val="000000"/>
          <w:sz w:val="24"/>
          <w:szCs w:val="24"/>
        </w:rPr>
        <w:t xml:space="preserve">Where competitors must bolt AI onto an account-required architecture, DevReady's local-first stack absorbs it without breaking its identity.</w:t>
      </w:r>
    </w:p>
    <w:p>
      <w:pPr>
        <w:pStyle w:val="Heading2"/>
        <w:spacing w:after="120" w:before="280" w:line="312"/>
      </w:pPr>
      <w:bookmarkStart w:name="_Toc13" w:id="13"/>
      <w:r>
        <w:rPr>
          <w:rFonts w:ascii="Times New Roman" w:cs="Arial" w:eastAsia="SimHei" w:hAnsi="Times New Roman"/>
          <w:b/>
          <w:bCs/>
          <w:color w:val="1A2330"/>
          <w:sz w:val="28"/>
          <w:szCs w:val="28"/>
        </w:rPr>
        <w:t xml:space="preserve">3.6 Gamification and Retention Systems</w:t>
      </w:r>
      <w:bookmarkEnd w:id="13"/>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DevReady already has the right skeleton — Daily Challenge streaks, progress states, and the Review Deck. </w:t>
      </w:r>
      <w:r>
        <w:rPr>
          <w:rFonts w:ascii="Times New Roman" w:cs="Arial" w:eastAsia="SimSun" w:hAnsi="Times New Roman"/>
          <w:b w:val="false"/>
          <w:bCs w:val="false"/>
          <w:i w:val="false"/>
          <w:iCs w:val="false"/>
          <w:color w:val="000000"/>
          <w:sz w:val="24"/>
          <w:szCs w:val="24"/>
        </w:rPr>
        <w:t xml:space="preserve">The evolution is Streak 2.0: two streak freezes per month (earnable via the referral loop and quiz milestones, not only purchasable), milestone badges at 7/30/100 days, and a personal study-year heatmap. </w:t>
      </w:r>
      <w:r>
        <w:rPr>
          <w:rFonts w:ascii="Times New Roman" w:cs="Arial" w:eastAsia="SimSun" w:hAnsi="Times New Roman"/>
          <w:b w:val="false"/>
          <w:bCs w:val="false"/>
          <w:i w:val="false"/>
          <w:iCs w:val="false"/>
          <w:color w:val="000000"/>
          <w:sz w:val="24"/>
          <w:szCs w:val="24"/>
        </w:rPr>
        <w:t xml:space="preserve">A weekly recap — “three resources completed, four challenges solved, streak saved once” — lands as a local PWA notification on Monday mornings, opt-in, in the user's language. </w:t>
      </w:r>
      <w:r>
        <w:rPr>
          <w:rFonts w:ascii="Times New Roman" w:cs="Arial" w:eastAsia="SimSun" w:hAnsi="Times New Roman"/>
          <w:b w:val="false"/>
          <w:bCs w:val="false"/>
          <w:i w:val="false"/>
          <w:iCs w:val="false"/>
          <w:color w:val="000000"/>
          <w:sz w:val="24"/>
          <w:szCs w:val="24"/>
        </w:rPr>
        <w:t xml:space="preserve">Milestone certificates (bilingual, shareable, verifiable by URL once accounts exist) mark roadmap-stage completions; these are the artifacts users post, which feeds the growth loops in Section 5.1. </w:t>
      </w:r>
      <w:r>
        <w:rPr>
          <w:rFonts w:ascii="Times New Roman" w:cs="Arial" w:eastAsia="SimSun" w:hAnsi="Times New Roman"/>
          <w:b w:val="false"/>
          <w:bCs w:val="false"/>
          <w:i w:val="false"/>
          <w:iCs w:val="false"/>
          <w:color w:val="000000"/>
          <w:sz w:val="24"/>
          <w:szCs w:val="24"/>
        </w:rPr>
        <w:t xml:space="preserve">The tonal rule from Section 2.4 applies to every mechanic: encouragement, never manipulation — no countdown timers, no loss-framed nagging, no red badges.</w:t>
      </w:r>
    </w:p>
    <w:p>
      <w:pPr>
        <w:pStyle w:val="Heading2"/>
        <w:spacing w:after="120" w:before="280" w:line="312"/>
      </w:pPr>
      <w:bookmarkStart w:name="_Toc14" w:id="14"/>
      <w:r>
        <w:rPr>
          <w:rFonts w:ascii="Times New Roman" w:cs="Arial" w:eastAsia="SimHei" w:hAnsi="Times New Roman"/>
          <w:b/>
          <w:bCs/>
          <w:color w:val="1A2330"/>
          <w:sz w:val="28"/>
          <w:szCs w:val="28"/>
        </w:rPr>
        <w:t xml:space="preserve">3.7 Lightweight Community and Social Features</w:t>
      </w:r>
      <w:bookmarkEnd w:id="14"/>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Community features are sequenced moderation-cheapest first. </w:t>
      </w:r>
      <w:r>
        <w:rPr>
          <w:rFonts w:ascii="Times New Roman" w:cs="Arial" w:eastAsia="SimSun" w:hAnsi="Times New Roman"/>
          <w:b w:val="false"/>
          <w:bCs w:val="false"/>
          <w:i w:val="false"/>
          <w:iCs w:val="false"/>
          <w:color w:val="000000"/>
          <w:sz w:val="24"/>
          <w:szCs w:val="24"/>
        </w:rPr>
        <w:t xml:space="preserve">Ship order: difficulty votes (infrastructure already specified in the Phase 5 work), one-click broken-link reporting, short structured reviews (“I used this for X company — worked / outdated” limited to 280 characters), contributor credits on resource cards for accepted Suggest-a-Resource entries, and reviewer badges for trusted contributors who pass a quality audit. </w:t>
      </w:r>
      <w:r>
        <w:rPr>
          <w:rFonts w:ascii="Times New Roman" w:cs="Arial" w:eastAsia="SimSun" w:hAnsi="Times New Roman"/>
          <w:b w:val="false"/>
          <w:bCs w:val="false"/>
          <w:i w:val="false"/>
          <w:iCs w:val="false"/>
          <w:color w:val="000000"/>
          <w:sz w:val="24"/>
          <w:szCs w:val="24"/>
        </w:rPr>
        <w:t xml:space="preserve">Comment threads and direct messages are deliberately deferred: they carry meaningful moderation cost and safety exposure that a small bilingual team should not adopt in year one. </w:t>
      </w:r>
      <w:r>
        <w:rPr>
          <w:rFonts w:ascii="Times New Roman" w:cs="Arial" w:eastAsia="SimSun" w:hAnsi="Times New Roman"/>
          <w:b w:val="false"/>
          <w:bCs w:val="false"/>
          <w:i w:val="false"/>
          <w:iCs w:val="false"/>
          <w:color w:val="000000"/>
          <w:sz w:val="24"/>
          <w:szCs w:val="24"/>
        </w:rPr>
        <w:t xml:space="preserve">The credit system is the real lever — Persian-speaking developers visibly credited as contributors become the product's most credible advocates (Section 5.1, loop 4).</w:t>
      </w:r>
    </w:p>
    <w:p>
      <w:pPr>
        <w:pStyle w:val="Heading2"/>
        <w:spacing w:after="120" w:before="280" w:line="312"/>
      </w:pPr>
      <w:bookmarkStart w:name="_Toc15" w:id="15"/>
      <w:r>
        <w:rPr>
          <w:rFonts w:ascii="Times New Roman" w:cs="Arial" w:eastAsia="SimHei" w:hAnsi="Times New Roman"/>
          <w:b/>
          <w:bCs/>
          <w:color w:val="1A2330"/>
          <w:sz w:val="28"/>
          <w:szCs w:val="28"/>
        </w:rPr>
        <w:t xml:space="preserve">3.8 Mobile Experience and PWA Strategy</w:t>
      </w:r>
      <w:bookmarkEnd w:id="15"/>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A native app is not on the 12-month roadmap, and that is a decision, not an omission. </w:t>
      </w:r>
      <w:r>
        <w:rPr>
          <w:rFonts w:ascii="Times New Roman" w:cs="Arial" w:eastAsia="SimSun" w:hAnsi="Times New Roman"/>
          <w:b w:val="false"/>
          <w:bCs w:val="false"/>
          <w:i w:val="false"/>
          <w:iCs w:val="false"/>
          <w:color w:val="000000"/>
          <w:sz w:val="24"/>
          <w:szCs w:val="24"/>
        </w:rPr>
        <w:t xml:space="preserve">The path is an installable PWA: web app manifest, service worker with an offline shell (catalog, roadmap, notes, and Review Deck work offline by design; progress syncs when online), an install prompt surfaced after the second session, and opt-in local notifications for streak rescue and review-due reminders. </w:t>
      </w:r>
      <w:r>
        <w:rPr>
          <w:rFonts w:ascii="Times New Roman" w:cs="Arial" w:eastAsia="SimSun" w:hAnsi="Times New Roman"/>
          <w:b w:val="false"/>
          <w:bCs w:val="false"/>
          <w:i w:val="false"/>
          <w:iCs w:val="false"/>
          <w:color w:val="000000"/>
          <w:sz w:val="24"/>
          <w:szCs w:val="24"/>
        </w:rPr>
        <w:t xml:space="preserve">This covers roughly the whole daily loop on Android and desktop, and most of it on iOS within Apple's constraints. </w:t>
      </w:r>
      <w:r>
        <w:rPr>
          <w:rFonts w:ascii="Times New Roman" w:cs="Arial" w:eastAsia="SimSun" w:hAnsi="Times New Roman"/>
          <w:b w:val="false"/>
          <w:bCs w:val="false"/>
          <w:i w:val="false"/>
          <w:iCs w:val="false"/>
          <w:color w:val="000000"/>
          <w:sz w:val="24"/>
          <w:szCs w:val="24"/>
        </w:rPr>
        <w:t xml:space="preserve">RTL is already first-class in the design system, so no separate mobile RTL audit is needed. </w:t>
      </w:r>
      <w:r>
        <w:rPr>
          <w:rFonts w:ascii="Times New Roman" w:cs="Arial" w:eastAsia="SimSun" w:hAnsi="Times New Roman"/>
          <w:b w:val="false"/>
          <w:bCs w:val="false"/>
          <w:i w:val="false"/>
          <w:iCs w:val="false"/>
          <w:color w:val="000000"/>
          <w:sz w:val="24"/>
          <w:szCs w:val="24"/>
        </w:rPr>
        <w:t xml:space="preserve">A wrapped native app (Capacitor or similar) is revisited only after D30 retention exceeds 10% and the notification funnel proves it can move that number — otherwise it would add distribution cost to a habit that is not yet proven.</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Layout w:type="fixed"/>
      </w:tblPr>
      <w:tblGrid>
        <w:gridCol w:w="8788"/>
      </w:tblGrid>
      <w:tr>
        <w:trPr>
          <w:cantSplit/>
        </w:trPr>
        <w:tc>
          <w:tcPr>
            <w:tcW w:type="pct" w:w="5000"/>
            <w:shd w:fill="F8F0EB" w:val="clear"/>
            <w:tcMar>
              <w:top w:type="dxa" w:w="110"/>
              <w:left w:type="dxa" w:w="160"/>
              <w:bottom w:type="dxa" w:w="110"/>
              <w:right w:type="dxa" w:w="160"/>
            </w:tcMar>
          </w:tcPr>
          <w:p>
            <w:pPr>
              <w:spacing w:after="60" w:line="312"/>
            </w:pPr>
            <w:r>
              <w:rPr>
                <w:rFonts w:ascii="Times New Roman" w:cs="Arial" w:eastAsia="SimSun" w:hAnsi="Times New Roman"/>
                <w:b/>
                <w:bCs/>
                <w:color w:val="1A2330"/>
                <w:sz w:val="22"/>
                <w:szCs w:val="22"/>
              </w:rPr>
              <w:t xml:space="preserve">The six-month product thesis</w:t>
            </w:r>
          </w:p>
          <w:p>
            <w:pPr>
              <w:spacing w:after="0" w:line="312"/>
            </w:pPr>
            <w:r>
              <w:rPr>
                <w:rFonts w:ascii="Times New Roman" w:cs="Arial" w:eastAsia="SimSun" w:hAnsi="Times New Roman"/>
                <w:b w:val="false"/>
                <w:bCs w:val="false"/>
                <w:i w:val="false"/>
                <w:iCs w:val="false"/>
                <w:color w:val="000000"/>
                <w:sz w:val="21"/>
                <w:szCs w:val="21"/>
              </w:rPr>
              <w:t xml:space="preserve">Measure honestly, guide every session with local data, secure progress in the cloud behind trust, and start earning original content. Everything else in this plan compounds from those four moves.</w:t>
            </w:r>
          </w:p>
        </w:tc>
      </w:tr>
    </w:tbl>
    <w:p>
      <w:pPr>
        <w:pStyle w:val="Heading1"/>
        <w:spacing w:after="180" w:before="400" w:line="312"/>
      </w:pPr>
      <w:bookmarkStart w:name="_Toc16" w:id="16"/>
      <w:r>
        <w:rPr>
          <w:rFonts w:ascii="Times New Roman" w:cs="Arial" w:eastAsia="SimHei" w:hAnsi="Times New Roman"/>
          <w:b/>
          <w:bCs/>
          <w:color w:val="1A2330"/>
          <w:sz w:val="32"/>
          <w:szCs w:val="32"/>
        </w:rPr>
        <w:t xml:space="preserve">4. Content Strategy</w:t>
      </w:r>
      <w:bookmarkEnd w:id="16"/>
    </w:p>
    <w:p>
      <w:pPr>
        <w:pStyle w:val="Heading2"/>
        <w:spacing w:after="120" w:before="280" w:line="312"/>
      </w:pPr>
      <w:bookmarkStart w:name="_Toc17" w:id="17"/>
      <w:r>
        <w:rPr>
          <w:rFonts w:ascii="Times New Roman" w:cs="Arial" w:eastAsia="SimHei" w:hAnsi="Times New Roman"/>
          <w:b/>
          <w:bCs/>
          <w:color w:val="1A2330"/>
          <w:sz w:val="28"/>
          <w:szCs w:val="28"/>
        </w:rPr>
        <w:t xml:space="preserve">4.1 Reducing External-Link Dependency and Defeating Link Rot</w:t>
      </w:r>
      <w:bookmarkEnd w:id="17"/>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A 636-link catalog is an asset with a half-life. </w:t>
      </w:r>
      <w:r>
        <w:rPr>
          <w:rFonts w:ascii="Times New Roman" w:cs="Arial" w:eastAsia="SimSun" w:hAnsi="Times New Roman"/>
          <w:b w:val="false"/>
          <w:bCs w:val="false"/>
          <w:i w:val="false"/>
          <w:iCs w:val="false"/>
          <w:color w:val="000000"/>
          <w:sz w:val="24"/>
          <w:szCs w:val="24"/>
        </w:rPr>
        <w:t xml:space="preserve">At the industry's typical link-rot rate of roughly 6–10% per year, DevReady should expect 40–60 dead or degraded links annually without an active defense — invisible today precisely because there is no telemetry. </w:t>
      </w:r>
      <w:r>
        <w:rPr>
          <w:rFonts w:ascii="Times New Roman" w:cs="Arial" w:eastAsia="SimSun" w:hAnsi="Times New Roman"/>
          <w:b w:val="false"/>
          <w:bCs w:val="false"/>
          <w:i w:val="false"/>
          <w:iCs w:val="false"/>
          <w:color w:val="000000"/>
          <w:sz w:val="24"/>
          <w:szCs w:val="24"/>
        </w:rPr>
        <w:t xml:space="preserve">The maintenance system has four parts, all cheap to build: a monthly automated HTTP audit across the entire catalog that records status codes and flags redirects, soft-404s and slow responses; automatic Wayback Machine snapshot checks with an “archived version” fallback link when a live URL degrades; a one-click “broken link” report on every resource card routed into the existing Suggest-a-Resource triage queue; and a freshness badge (reviewed date) on each resource card so users can see the catalog is alive.</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Dependency on destinations is reduced by the digest-card program: for each of the top 100 resources by usage, a DevReady-written 200–400 word summary with key takeaways, rendered natively in the app above the outbound link, in both languages. </w:t>
      </w:r>
      <w:r>
        <w:rPr>
          <w:rFonts w:ascii="Times New Roman" w:cs="Arial" w:eastAsia="SimSun" w:hAnsi="Times New Roman"/>
          <w:b w:val="false"/>
          <w:bCs w:val="false"/>
          <w:i w:val="false"/>
          <w:iCs w:val="false"/>
          <w:color w:val="000000"/>
          <w:sz w:val="24"/>
          <w:szCs w:val="24"/>
        </w:rPr>
        <w:t xml:space="preserve">If a destination dies or changes, the summary preserves the value and the slot is re-curated rather than abandoned. </w:t>
      </w:r>
      <w:r>
        <w:rPr>
          <w:rFonts w:ascii="Times New Roman" w:cs="Arial" w:eastAsia="SimSun" w:hAnsi="Times New Roman"/>
          <w:b w:val="false"/>
          <w:bCs w:val="false"/>
          <w:i w:val="false"/>
          <w:iCs w:val="false"/>
          <w:color w:val="000000"/>
          <w:sz w:val="24"/>
          <w:szCs w:val="24"/>
        </w:rPr>
        <w:t xml:space="preserve">Digest cards also serve the interactive layer (Section 3.4), the AI hint corpus (Section 3.5), and Persian SEO (Section 5.2) — one writing investment, four returns. The program starts with 10 cards per week and reaches 100 in a quarter.</w:t>
      </w:r>
    </w:p>
    <w:p>
      <w:pPr>
        <w:pStyle w:val="Heading2"/>
        <w:spacing w:after="120" w:before="280" w:line="312"/>
      </w:pPr>
      <w:bookmarkStart w:name="_Toc18" w:id="18"/>
      <w:r>
        <w:rPr>
          <w:rFonts w:ascii="Times New Roman" w:cs="Arial" w:eastAsia="SimHei" w:hAnsi="Times New Roman"/>
          <w:b/>
          <w:bCs/>
          <w:color w:val="1A2330"/>
          <w:sz w:val="28"/>
          <w:szCs w:val="28"/>
        </w:rPr>
        <w:t xml:space="preserve">4.2 Original Content Roadmap: What to Create First, and Why</w:t>
      </w:r>
      <w:bookmarkEnd w:id="18"/>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Original content is prioritized by a single rule: create the asset that increases daily return probability and cannot be found elsewhere in Persian. </w:t>
      </w:r>
      <w:r>
        <w:rPr>
          <w:rFonts w:ascii="Times New Roman" w:cs="Arial" w:eastAsia="SimSun" w:hAnsi="Times New Roman"/>
          <w:b w:val="false"/>
          <w:bCs w:val="false"/>
          <w:i w:val="false"/>
          <w:iCs w:val="false"/>
          <w:color w:val="000000"/>
          <w:sz w:val="24"/>
          <w:szCs w:val="24"/>
        </w:rPr>
        <w:t xml:space="preserve">The sequence below is sized for one part-time native content lead plus founder editing time, with each item strengthening the product loop rather than merely adding pages.</w:t>
      </w:r>
    </w:p>
    <w:p>
      <w:pPr>
        <w:keepNext/>
        <w:spacing w:after="100" w:before="200" w:line="312"/>
        <w:jc w:val="left"/>
      </w:pPr>
      <w:r>
        <w:rPr>
          <w:rFonts w:ascii="Times New Roman" w:cs="Arial" w:eastAsia="SimSun" w:hAnsi="Times New Roman"/>
          <w:b/>
          <w:bCs/>
          <w:color w:val="1A2330"/>
          <w:sz w:val="21"/>
          <w:szCs w:val="21"/>
        </w:rPr>
        <w:t xml:space="preserve">Table 7.  </w:t>
      </w:r>
      <w:r>
        <w:rPr>
          <w:rFonts w:ascii="Times New Roman" w:cs="Arial" w:eastAsia="SimSun" w:hAnsi="Times New Roman"/>
          <w:color w:val="5A6572"/>
          <w:sz w:val="21"/>
          <w:szCs w:val="21"/>
        </w:rPr>
        <w:t xml:space="preserve">Original content roadmap in build order. Every item ships bilingual unless marked Persian-first.</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791"/>
        <w:gridCol w:w="2285"/>
        <w:gridCol w:w="2636"/>
        <w:gridCol w:w="1406"/>
        <w:gridCol w:w="1670"/>
      </w:tblGrid>
      <w:tr>
        <w:trPr>
          <w:cantSplit/>
          <w:tblHeader/>
        </w:trPr>
        <w:tc>
          <w:tcPr>
            <w:tcW w:type="pct" w:w="4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Order</w:t>
            </w:r>
          </w:p>
        </w:tc>
        <w:tc>
          <w:tcPr>
            <w:tcW w:type="pct" w:w="13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Asset</w:t>
            </w:r>
          </w:p>
        </w:tc>
        <w:tc>
          <w:tcPr>
            <w:tcW w:type="pct" w:w="1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Why this order</w:t>
            </w:r>
          </w:p>
        </w:tc>
        <w:tc>
          <w:tcPr>
            <w:tcW w:type="pct" w:w="8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Scope</w:t>
            </w:r>
          </w:p>
        </w:tc>
        <w:tc>
          <w:tcPr>
            <w:tcW w:type="pct" w:w="9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Primary job</w:t>
            </w:r>
          </w:p>
        </w:tc>
      </w:tr>
      <w:tr>
        <w:trPr>
          <w:cantSplit/>
        </w:trPr>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Bilingual question bank v1: 100 questions (JS, React, behavioral) with model answers and hint ladders</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Feeds Daily Challenge, Review Deck and Pro tier at once; the single highest-leverage asset</w:t>
            </w:r>
          </w:p>
        </w:tc>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100 × (question + model answer + 3 hints)</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Retention and monetization anchor</w:t>
            </w:r>
          </w:p>
        </w:tc>
      </w:tr>
      <w:tr>
        <w:trPr>
          <w:cantSplit/>
        </w:trPr>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Digest cards for top 100 resources</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Maintains curation quality while accumulating original text; cheap per unit</w:t>
            </w:r>
          </w:p>
        </w:tc>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100 × 200–400 words × 2 languages</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Link-rot defense and SEO</w:t>
            </w:r>
          </w:p>
        </w:tc>
      </w:tr>
      <w:tr>
        <w:trPr>
          <w:cantSplit/>
        </w:trPr>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10 company guides (bilingual)</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High-intent searches; strong sharing loop among referral circles</w:t>
            </w:r>
          </w:p>
        </w:tc>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10 guides, 1,500 words each</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Acquisition</w:t>
            </w:r>
          </w:p>
        </w:tc>
      </w:tr>
      <w:tr>
        <w:trPr>
          <w:cantSplit/>
        </w:trPr>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Persian-first system design primer series</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No credible Persian equivalent exists; premium-feeling free content builds brand</w:t>
            </w:r>
          </w:p>
        </w:tc>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8 parts, Persian-written</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Brand and moat</w:t>
            </w:r>
          </w:p>
        </w:tc>
      </w:tr>
      <w:tr>
        <w:trPr>
          <w:cantSplit/>
        </w:trPr>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5</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Salary and negotiation guide (Iran market + remote/diaspora)</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Unique, highly shared, deeply useful; nobody else covers both markets honestly</w:t>
            </w:r>
          </w:p>
        </w:tc>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 long-form + templates</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Word-of-mouth</w:t>
            </w:r>
          </w:p>
        </w:tc>
      </w:tr>
      <w:tr>
        <w:trPr>
          <w:cantSplit/>
        </w:trPr>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Relocation and visa guide for Persian developers</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Emotionally resonant, evergreen, differentiating; pairs with persona Amir's real goal</w:t>
            </w:r>
          </w:p>
        </w:tc>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 long-form, updated quarterly</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Word-of-mouth</w:t>
            </w:r>
          </w:p>
        </w:tc>
      </w:tr>
      <w:tr>
        <w:trPr>
          <w:cantSplit/>
        </w:trPr>
        <w:tc>
          <w:tcPr>
            <w:tcW w:type="pct" w:w="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7</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Interactive JS fundamentals exercises</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Converts readers into practitioners; uses the sandboxed runner from Section 3.4</w:t>
            </w:r>
          </w:p>
        </w:tc>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30 exercises</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Retention and completion</w:t>
            </w:r>
          </w:p>
        </w:tc>
      </w:tr>
    </w:tbl>
    <w:p>
      <w:pPr>
        <w:pStyle w:val="Heading2"/>
        <w:spacing w:after="120" w:before="280" w:line="312"/>
      </w:pPr>
      <w:bookmarkStart w:name="_Toc19" w:id="19"/>
      <w:r>
        <w:rPr>
          <w:rFonts w:ascii="Times New Roman" w:cs="Arial" w:eastAsia="SimHei" w:hAnsi="Times New Roman"/>
          <w:b/>
          <w:bCs/>
          <w:color w:val="1A2330"/>
          <w:sz w:val="28"/>
          <w:szCs w:val="28"/>
        </w:rPr>
        <w:t xml:space="preserve">4.3 The Persian Content Advantage as a Real Moat</w:t>
      </w:r>
      <w:bookmarkEnd w:id="19"/>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advantage is only a moat if Persian content is written natively, not translated. </w:t>
      </w:r>
      <w:r>
        <w:rPr>
          <w:rFonts w:ascii="Times New Roman" w:cs="Arial" w:eastAsia="SimSun" w:hAnsi="Times New Roman"/>
          <w:b w:val="false"/>
          <w:bCs w:val="false"/>
          <w:i w:val="false"/>
          <w:iCs w:val="false"/>
          <w:color w:val="000000"/>
          <w:sz w:val="24"/>
          <w:szCs w:val="24"/>
        </w:rPr>
        <w:t xml:space="preserve">Translated English content reads like a second-class mirror, and the audience can tell instantly; the style guide therefore mandates Persian-written explanations where Persian is the teaching language, with technical terms deliberately kept in English (exactly how Iranian developers speak), a shared glossary of Persian technical terminology to keep 636 resources and all new content consistent, and RTL typographic rules already enforced in the product. </w:t>
      </w:r>
      <w:r>
        <w:rPr>
          <w:rFonts w:ascii="Times New Roman" w:cs="Arial" w:eastAsia="SimSun" w:hAnsi="Times New Roman"/>
          <w:b w:val="false"/>
          <w:bCs w:val="false"/>
          <w:i w:val="false"/>
          <w:iCs w:val="false"/>
          <w:color w:val="000000"/>
          <w:sz w:val="24"/>
          <w:szCs w:val="24"/>
        </w:rPr>
        <w:t xml:space="preserve">The فارسی-only filter currently surfaces 14 native-language resources; the goal is 150+ genuinely Persian-written items within 12 months, which would make DevReady's corpus larger than any competitor's Persian offering — by a factor of ten.</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moat compounds in three directions. </w:t>
      </w:r>
      <w:r>
        <w:rPr>
          <w:rFonts w:ascii="Times New Roman" w:cs="Arial" w:eastAsia="SimSun" w:hAnsi="Times New Roman"/>
          <w:b w:val="false"/>
          <w:bCs w:val="false"/>
          <w:i w:val="false"/>
          <w:iCs w:val="false"/>
          <w:color w:val="000000"/>
          <w:sz w:val="24"/>
          <w:szCs w:val="24"/>
        </w:rPr>
        <w:t xml:space="preserve">SEO: the Persian keyword space (Section 5.2) is low-competition; the first structured entrant owns it. </w:t>
      </w:r>
      <w:r>
        <w:rPr>
          <w:rFonts w:ascii="Times New Roman" w:cs="Arial" w:eastAsia="SimSun" w:hAnsi="Times New Roman"/>
          <w:b w:val="false"/>
          <w:bCs w:val="false"/>
          <w:i w:val="false"/>
          <w:iCs w:val="false"/>
          <w:color w:val="000000"/>
          <w:sz w:val="24"/>
          <w:szCs w:val="24"/>
        </w:rPr>
        <w:t xml:space="preserve">Data: Persian technical Q&amp;A text feeds the Phase C AI evaluation model that no English-first competitor can replicate without hiring native engineers. </w:t>
      </w:r>
      <w:r>
        <w:rPr>
          <w:rFonts w:ascii="Times New Roman" w:cs="Arial" w:eastAsia="SimSun" w:hAnsi="Times New Roman"/>
          <w:b w:val="false"/>
          <w:bCs w:val="false"/>
          <w:i w:val="false"/>
          <w:iCs w:val="false"/>
          <w:color w:val="000000"/>
          <w:sz w:val="24"/>
          <w:szCs w:val="24"/>
        </w:rPr>
        <w:t xml:space="preserve">Brand: being the only platform that respects Persian developers in their own language earns a trust premium that price cuts cannot dislodge. </w:t>
      </w:r>
      <w:r>
        <w:rPr>
          <w:rFonts w:ascii="Times New Roman" w:cs="Arial" w:eastAsia="SimSun" w:hAnsi="Times New Roman"/>
          <w:b w:val="false"/>
          <w:bCs w:val="false"/>
          <w:i w:val="false"/>
          <w:iCs w:val="false"/>
          <w:color w:val="000000"/>
          <w:sz w:val="24"/>
          <w:szCs w:val="24"/>
        </w:rPr>
        <w:t xml:space="preserve">Afghan Persian (Dari) and Tajik audiences extend the addressable market at near-zero marginal content cost and are explicitly in scope for the keyword strategy.</w:t>
      </w:r>
    </w:p>
    <w:p>
      <w:pPr>
        <w:pStyle w:val="Heading2"/>
        <w:spacing w:after="120" w:before="280" w:line="312"/>
      </w:pPr>
      <w:bookmarkStart w:name="_Toc20" w:id="20"/>
      <w:r>
        <w:rPr>
          <w:rFonts w:ascii="Times New Roman" w:cs="Arial" w:eastAsia="SimHei" w:hAnsi="Times New Roman"/>
          <w:b/>
          <w:bCs/>
          <w:color w:val="1A2330"/>
          <w:sz w:val="28"/>
          <w:szCs w:val="28"/>
        </w:rPr>
        <w:t xml:space="preserve">4.4 Quality Control, Curation Standards, and Ongoing Maintenance</w:t>
      </w:r>
      <w:bookmarkEnd w:id="20"/>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Curation is the product; it needs an auditable standard, not vibes. </w:t>
      </w:r>
      <w:r>
        <w:rPr>
          <w:rFonts w:ascii="Times New Roman" w:cs="Arial" w:eastAsia="SimSun" w:hAnsi="Times New Roman"/>
          <w:b w:val="false"/>
          <w:bCs w:val="false"/>
          <w:i w:val="false"/>
          <w:iCs w:val="false"/>
          <w:color w:val="000000"/>
          <w:sz w:val="24"/>
          <w:szCs w:val="24"/>
        </w:rPr>
        <w:t xml:space="preserve">Every candidate resource — whether found by the team or submitted via Suggest-a-Resource — is scored against the six-criterion rubric below by two reviewers, with a third as tie-breaker. Acceptance requires at least 8 of 12 points and no zero on accuracy. Existing resources are re-reviewed on a rolling quarterly cycle, and any resource failing two consecutive re-reviews is de-listed to a visible archive rather than silently removed.</w:t>
      </w:r>
    </w:p>
    <w:p>
      <w:pPr>
        <w:keepNext/>
        <w:spacing w:after="100" w:before="200" w:line="312"/>
        <w:jc w:val="left"/>
      </w:pPr>
      <w:r>
        <w:rPr>
          <w:rFonts w:ascii="Times New Roman" w:cs="Arial" w:eastAsia="SimSun" w:hAnsi="Times New Roman"/>
          <w:b/>
          <w:bCs/>
          <w:color w:val="1A2330"/>
          <w:sz w:val="21"/>
          <w:szCs w:val="21"/>
        </w:rPr>
        <w:t xml:space="preserve">Table 8.  </w:t>
      </w:r>
      <w:r>
        <w:rPr>
          <w:rFonts w:ascii="Times New Roman" w:cs="Arial" w:eastAsia="SimSun" w:hAnsi="Times New Roman"/>
          <w:color w:val="5A6572"/>
          <w:sz w:val="21"/>
          <w:szCs w:val="21"/>
        </w:rPr>
        <w:t xml:space="preserve">Curation rubric (0–2 per criterion; acceptance bar: 8/12 with no zero on accuracy).</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406"/>
        <w:gridCol w:w="2461"/>
        <w:gridCol w:w="2461"/>
        <w:gridCol w:w="2461"/>
      </w:tblGrid>
      <w:tr>
        <w:trPr>
          <w:cantSplit/>
          <w:tblHeader/>
        </w:trPr>
        <w:tc>
          <w:tcPr>
            <w:tcW w:type="pct" w:w="8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Criterion</w:t>
            </w:r>
          </w:p>
        </w:tc>
        <w:tc>
          <w:tcPr>
            <w:tcW w:type="pct" w:w="14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0 points</w:t>
            </w:r>
          </w:p>
        </w:tc>
        <w:tc>
          <w:tcPr>
            <w:tcW w:type="pct" w:w="14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1 point</w:t>
            </w:r>
          </w:p>
        </w:tc>
        <w:tc>
          <w:tcPr>
            <w:tcW w:type="pct" w:w="14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2 points</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Accuracy</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Outdated or wrong on core claims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Mostly correct, minor staleness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Current and technically precise</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Pedagogy</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Dumps information; no structure</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Explains but assumes too much</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Builds understanding step by step</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Interview signal</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General interest only</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Occasionally interview-relevant</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Directly mapped to real interview loops</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Language quality</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Poor writing or translation artifacts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Acceptable but uneven</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Excellent; native-level craft</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Effort-to-value</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Long with little payoff</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Fair ratio</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 value per minute invested</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Accessibility</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No captions/transcripts where needed; hostile markup</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Partial accommodations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Readable structure, captions, keyboard-friendly</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Community contributions plug into the same rubric with a service-level promise: every Suggest-a-Resource submission is triaged within 48 hours and accepted submissions credit the contributor on the resource card. </w:t>
      </w:r>
      <w:r>
        <w:rPr>
          <w:rFonts w:ascii="Times New Roman" w:cs="Arial" w:eastAsia="SimSun" w:hAnsi="Times New Roman"/>
          <w:b w:val="false"/>
          <w:bCs w:val="false"/>
          <w:i w:val="false"/>
          <w:iCs w:val="false"/>
          <w:color w:val="000000"/>
          <w:sz w:val="24"/>
          <w:szCs w:val="24"/>
        </w:rPr>
        <w:t xml:space="preserve">Quarterly, the team publishes a short “state of the catalog” note — additions, removals, dead links repaired — turning unglamorous maintenance into a public trust ritual.</w:t>
      </w:r>
    </w:p>
    <w:p>
      <w:pPr>
        <w:pStyle w:val="Heading2"/>
        <w:spacing w:after="120" w:before="280" w:line="312"/>
      </w:pPr>
      <w:bookmarkStart w:name="_Toc21" w:id="21"/>
      <w:r>
        <w:rPr>
          <w:rFonts w:ascii="Times New Roman" w:cs="Arial" w:eastAsia="SimHei" w:hAnsi="Times New Roman"/>
          <w:b/>
          <w:bCs/>
          <w:color w:val="1A2330"/>
          <w:sz w:val="28"/>
          <w:szCs w:val="28"/>
        </w:rPr>
        <w:t xml:space="preserve">4.5 Content Formats That Drive Retention</w:t>
      </w:r>
      <w:bookmarkEnd w:id="21"/>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Formats are chosen by their measured effect on completion and return, not by production fashion. </w:t>
      </w:r>
      <w:r>
        <w:rPr>
          <w:rFonts w:ascii="Times New Roman" w:cs="Arial" w:eastAsia="SimSun" w:hAnsi="Times New Roman"/>
          <w:b w:val="false"/>
          <w:bCs w:val="false"/>
          <w:i w:val="false"/>
          <w:iCs w:val="false"/>
          <w:color w:val="000000"/>
          <w:sz w:val="24"/>
          <w:szCs w:val="24"/>
        </w:rPr>
        <w:t xml:space="preserve">The retention stack in priority order: personal notes (already shipped — the strongest ownership signal a learner can create); the Review Deck (already shipped — converts consumed content into scheduled practice); the question bank with hint ladders (Chapter 4.2 item 1); checkpoint quizzes attached to resources; checklists (per-interview-type packing lists: what to revise, what to prepare, what to ask); and mock-interview scripts with timing guidance for pairs of users preparing simultaneously. </w:t>
      </w:r>
      <w:r>
        <w:rPr>
          <w:rFonts w:ascii="Times New Roman" w:cs="Arial" w:eastAsia="SimSun" w:hAnsi="Times New Roman"/>
          <w:b w:val="false"/>
          <w:bCs w:val="false"/>
          <w:i w:val="false"/>
          <w:iCs w:val="false"/>
          <w:color w:val="000000"/>
          <w:sz w:val="24"/>
          <w:szCs w:val="24"/>
        </w:rPr>
        <w:t xml:space="preserve">Each format ships with an explicit completion metric from day one — notes created per active user, review-due discipline, question-bank accuracy — so the content roadmap stays accountable to behavior rather than output volume. </w:t>
      </w:r>
      <w:r>
        <w:rPr>
          <w:rFonts w:ascii="Times New Roman" w:cs="Arial" w:eastAsia="SimSun" w:hAnsi="Times New Roman"/>
          <w:b w:val="false"/>
          <w:bCs w:val="false"/>
          <w:i w:val="false"/>
          <w:iCs w:val="false"/>
          <w:color w:val="000000"/>
          <w:sz w:val="24"/>
          <w:szCs w:val="24"/>
        </w:rPr>
        <w:t xml:space="preserve">Long-form guides are treated as acquisition surfaces (SEO, community sharing); short interactive artifacts are treated as retention surfaces. The two are measured separately and neither is judged by the other's metric.</w:t>
      </w:r>
    </w:p>
    <w:p>
      <w:pPr>
        <w:pStyle w:val="Heading1"/>
        <w:spacing w:after="180" w:before="400" w:line="312"/>
      </w:pPr>
      <w:bookmarkStart w:name="_Toc22" w:id="22"/>
      <w:r>
        <w:rPr>
          <w:rFonts w:ascii="Times New Roman" w:cs="Arial" w:eastAsia="SimHei" w:hAnsi="Times New Roman"/>
          <w:b/>
          <w:bCs/>
          <w:color w:val="1A2330"/>
          <w:sz w:val="32"/>
          <w:szCs w:val="32"/>
        </w:rPr>
        <w:t xml:space="preserve">5. Growth &amp; Marketing Strategy</w:t>
      </w:r>
      <w:bookmarkEnd w:id="22"/>
    </w:p>
    <w:p>
      <w:pPr>
        <w:pStyle w:val="Heading2"/>
        <w:spacing w:after="120" w:before="280" w:line="312"/>
      </w:pPr>
      <w:bookmarkStart w:name="_Toc23" w:id="23"/>
      <w:r>
        <w:rPr>
          <w:rFonts w:ascii="Times New Roman" w:cs="Arial" w:eastAsia="SimHei" w:hAnsi="Times New Roman"/>
          <w:b/>
          <w:bCs/>
          <w:color w:val="1A2330"/>
          <w:sz w:val="28"/>
          <w:szCs w:val="28"/>
        </w:rPr>
        <w:t xml:space="preserve">5.1 Organic Growth Loops Built Into the Product</w:t>
      </w:r>
      <w:bookmarkEnd w:id="23"/>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Paid acquisition is out of scope for year one; the growth engine is a set of product-built loops, each with a trigger, a mechanism, and a measurable expectation. </w:t>
      </w:r>
      <w:r>
        <w:rPr>
          <w:rFonts w:ascii="Times New Roman" w:cs="Arial" w:eastAsia="SimSun" w:hAnsi="Times New Roman"/>
          <w:b w:val="false"/>
          <w:bCs w:val="false"/>
          <w:i w:val="false"/>
          <w:iCs w:val="false"/>
          <w:color w:val="000000"/>
          <w:sz w:val="24"/>
          <w:szCs w:val="24"/>
        </w:rPr>
        <w:t xml:space="preserve">The unifying principle: DevReady manufactures shareable artifacts of effort — progress cards, badges, credits — because a studier's network is full of exactly the people who need the product. All artifacts render bilingually and RTL-correctly, since a Persian-language screenshot shared in a Telegram group is itself the ad.</w:t>
      </w:r>
    </w:p>
    <w:p>
      <w:pPr>
        <w:keepNext/>
        <w:spacing w:after="100" w:before="200" w:line="312"/>
        <w:jc w:val="left"/>
      </w:pPr>
      <w:r>
        <w:rPr>
          <w:rFonts w:ascii="Times New Roman" w:cs="Arial" w:eastAsia="SimSun" w:hAnsi="Times New Roman"/>
          <w:b/>
          <w:bCs/>
          <w:color w:val="1A2330"/>
          <w:sz w:val="21"/>
          <w:szCs w:val="21"/>
        </w:rPr>
        <w:t xml:space="preserve">Table 9.  </w:t>
      </w:r>
      <w:r>
        <w:rPr>
          <w:rFonts w:ascii="Times New Roman" w:cs="Arial" w:eastAsia="SimSun" w:hAnsi="Times New Roman"/>
          <w:color w:val="5A6572"/>
          <w:sz w:val="21"/>
          <w:szCs w:val="21"/>
        </w:rPr>
        <w:t xml:space="preserve">Product-built growth loops and their design.</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406"/>
        <w:gridCol w:w="1758"/>
        <w:gridCol w:w="3339"/>
        <w:gridCol w:w="2285"/>
      </w:tblGrid>
      <w:tr>
        <w:trPr>
          <w:cantSplit/>
          <w:tblHeader/>
        </w:trPr>
        <w:tc>
          <w:tcPr>
            <w:tcW w:type="pct" w:w="8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Loop</w:t>
            </w:r>
          </w:p>
        </w:tc>
        <w:tc>
          <w:tcPr>
            <w:tcW w:type="pct" w:w="10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Trigger</w:t>
            </w:r>
          </w:p>
        </w:tc>
        <w:tc>
          <w:tcPr>
            <w:tcW w:type="pct" w:w="19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Mechanism</w:t>
            </w:r>
          </w:p>
        </w:tc>
        <w:tc>
          <w:tcPr>
            <w:tcW w:type="pct" w:w="13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Expected effect</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 Shareable progress card</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Weekly recap or milestone reached</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One-tap bilingual image (readiness score, streak, stage completed) with a personalized invite link</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Peer credibility; each cohort of sharers seeds new first sessions</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 Readiness badge</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User opts in to a public profile</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Permanent profile URL showing roadmap progress and verified badges; linked from resumes and bios</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Long-tail backlinks; hiring-manager discovery (Section 6.4)</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 Challenge-a-friend</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Daily Challenge completed</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“Nudge a friend to beat today's challenge” with deep link; both get a streak freeze on acceptance</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Direct viral k-factor on the daily habit</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 Contributor credits</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Suggestion accepted or review published</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Named credit on the resource card + contributor profile; contributors share their own credits</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UGC supply growth with zero paid incentive</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5. Company guide backlinks</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Guide pages rank and get shared</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Guides end with “prepare for this company” roadmap deep link</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SEO-to-product conversion path</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 Open-source question seeds</w:t>
            </w:r>
          </w:p>
        </w:tc>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Quarterly batch of 10 questions released on GitHub</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Community translates/extends; repo links back with structured attribution</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Developer credibility; inbound contributor funnel</w:t>
            </w:r>
          </w:p>
        </w:tc>
      </w:tr>
    </w:tbl>
    <w:p>
      <w:pPr>
        <w:pStyle w:val="Heading2"/>
        <w:spacing w:after="120" w:before="280" w:line="312"/>
      </w:pPr>
      <w:bookmarkStart w:name="_Toc24" w:id="24"/>
      <w:r>
        <w:rPr>
          <w:rFonts w:ascii="Times New Roman" w:cs="Arial" w:eastAsia="SimHei" w:hAnsi="Times New Roman"/>
          <w:b/>
          <w:bCs/>
          <w:color w:val="1A2330"/>
          <w:sz w:val="28"/>
          <w:szCs w:val="28"/>
        </w:rPr>
        <w:t xml:space="preserve">5.2 Content Marketing and SEO Strategy</w:t>
      </w:r>
      <w:bookmarkEnd w:id="24"/>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SEO is a two-language strategy with asymmetric economics: English clusters face entrenched competition, Persian clusters are nearly unclaimed. </w:t>
      </w:r>
      <w:r>
        <w:rPr>
          <w:rFonts w:ascii="Times New Roman" w:cs="Arial" w:eastAsia="SimSun" w:hAnsi="Times New Roman"/>
          <w:b w:val="false"/>
          <w:bCs w:val="false"/>
          <w:i w:val="false"/>
          <w:iCs w:val="false"/>
          <w:color w:val="000000"/>
          <w:sz w:val="24"/>
          <w:szCs w:val="24"/>
        </w:rPr>
        <w:t xml:space="preserve">The technical foundation is already favorable — the site is server-rendered Next.js — and needs hreflang EN/FA pairing, FAQPage structured data on question pages, and one canonical URL per concept in each language. </w:t>
      </w:r>
      <w:r>
        <w:rPr>
          <w:rFonts w:ascii="Times New Roman" w:cs="Arial" w:eastAsia="SimSun" w:hAnsi="Times New Roman"/>
          <w:b w:val="false"/>
          <w:bCs w:val="false"/>
          <w:i w:val="false"/>
          <w:iCs w:val="false"/>
          <w:color w:val="000000"/>
          <w:sz w:val="24"/>
          <w:szCs w:val="24"/>
        </w:rPr>
        <w:t xml:space="preserve">Content types per cluster: a pillar guide (3,000+ words), 10–20 question pages with model answers, and one original data piece per year (for example, a Persian developer job-market snapshot) that earns links.</w:t>
      </w:r>
    </w:p>
    <w:p>
      <w:pPr>
        <w:keepNext/>
        <w:spacing w:after="100" w:before="200" w:line="312"/>
        <w:jc w:val="left"/>
      </w:pPr>
      <w:r>
        <w:rPr>
          <w:rFonts w:ascii="Times New Roman" w:cs="Arial" w:eastAsia="SimSun" w:hAnsi="Times New Roman"/>
          <w:b/>
          <w:bCs/>
          <w:color w:val="1A2330"/>
          <w:sz w:val="21"/>
          <w:szCs w:val="21"/>
        </w:rPr>
        <w:t xml:space="preserve">Table 10.  </w:t>
      </w:r>
      <w:r>
        <w:rPr>
          <w:rFonts w:ascii="Times New Roman" w:cs="Arial" w:eastAsia="SimSun" w:hAnsi="Times New Roman"/>
          <w:color w:val="5A6572"/>
          <w:sz w:val="21"/>
          <w:szCs w:val="21"/>
        </w:rPr>
        <w:t xml:space="preserve">Bilingual SEO topic clusters. Persian terms are actual head terms targeted by the Persian cluster pages.</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758"/>
        <w:gridCol w:w="879"/>
        <w:gridCol w:w="3515"/>
        <w:gridCol w:w="2636"/>
      </w:tblGrid>
      <w:tr>
        <w:trPr>
          <w:cantSplit/>
          <w:tblHeader/>
        </w:trPr>
        <w:tc>
          <w:tcPr>
            <w:tcW w:type="pct" w:w="10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Cluster</w:t>
            </w:r>
          </w:p>
        </w:tc>
        <w:tc>
          <w:tcPr>
            <w:tcW w:type="pct" w:w="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Lang.</w:t>
            </w:r>
          </w:p>
        </w:tc>
        <w:tc>
          <w:tcPr>
            <w:tcW w:type="pct" w:w="20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Representative head terms</w:t>
            </w:r>
          </w:p>
        </w:tc>
        <w:tc>
          <w:tcPr>
            <w:tcW w:type="pct" w:w="1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Primary assets</w:t>
            </w:r>
          </w:p>
        </w:tc>
      </w:tr>
      <w:tr>
        <w:trPr>
          <w:cantSplit/>
        </w:trPr>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Frontend interview prep</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EN</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frontend interview questions; react interview questions and answers</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Pillar guide + question pages (from the 100-question bank)</w:t>
            </w:r>
          </w:p>
        </w:tc>
      </w:tr>
      <w:tr>
        <w:trPr>
          <w:cantSplit/>
        </w:trPr>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System design</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EN</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system design interview prep; frontend system design</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Primer series + roadmap deep links</w:t>
            </w:r>
          </w:p>
        </w:tc>
      </w:tr>
      <w:tr>
        <w:trPr>
          <w:cantSplit/>
        </w:trPr>
        <w:tc>
          <w:tcPr>
            <w:tcW w:type="pct" w:w="1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Job-hunt skills</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EN</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developer resume tips; behavioral interview questions software engineer</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Guides 5–6 + checklist assets</w:t>
            </w:r>
          </w:p>
        </w:tc>
      </w:tr>
      <w:tr>
        <w:trPr>
          <w:cantSplit/>
        </w:trPr>
        <w:tc>
          <w:tcPr>
            <w:tcW w:type="pct" w:w="1000"/>
            <w:tcMar>
              <w:top w:type="dxa" w:w="60"/>
              <w:left w:type="dxa" w:w="110"/>
              <w:bottom w:type="dxa" w:w="60"/>
              <w:right w:type="dxa" w:w="110"/>
            </w:tcMar>
          </w:tcPr>
          <w:p>
            <w:pPr>
              <w:spacing w:after="20" w:before="20" w:line="312"/>
              <w:jc w:val="left"/>
            </w:pPr>
            <w:r>
              <w:rPr>
                <w:rFonts w:ascii="Arial" w:cs="Arial" w:eastAsia="Arial" w:hAnsi="Arial"/>
                <w:b w:val="false"/>
                <w:bCs w:val="false"/>
                <w:color w:val="000000"/>
                <w:sz w:val="20"/>
                <w:szCs w:val="20"/>
              </w:rPr>
              <w:t xml:space="preserve">آمادگی مصاحبه</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FA</w:t>
            </w:r>
          </w:p>
        </w:tc>
        <w:tc>
          <w:tcPr>
            <w:tcW w:type="pct" w:w="2000"/>
            <w:tcMar>
              <w:top w:type="dxa" w:w="60"/>
              <w:left w:type="dxa" w:w="110"/>
              <w:bottom w:type="dxa" w:w="60"/>
              <w:right w:type="dxa" w:w="110"/>
            </w:tcMar>
          </w:tcPr>
          <w:p>
            <w:pPr>
              <w:spacing w:after="20" w:before="20" w:line="312"/>
              <w:jc w:val="left"/>
            </w:pPr>
            <w:r>
              <w:rPr>
                <w:rFonts w:ascii="Arial" w:cs="Arial" w:eastAsia="Arial" w:hAnsi="Arial"/>
                <w:b w:val="false"/>
                <w:bCs w:val="false"/>
                <w:color w:val="000000"/>
                <w:sz w:val="20"/>
                <w:szCs w:val="20"/>
              </w:rPr>
              <w:t xml:space="preserve">آمادگی مصاحبه برنامه‌نویسی; سوالات مصاحبه فرانت اند</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 pillar guide + 100 bilingual question pages</w:t>
            </w:r>
          </w:p>
        </w:tc>
      </w:tr>
      <w:tr>
        <w:trPr>
          <w:cantSplit/>
        </w:trPr>
        <w:tc>
          <w:tcPr>
            <w:tcW w:type="pct" w:w="1000"/>
            <w:tcMar>
              <w:top w:type="dxa" w:w="60"/>
              <w:left w:type="dxa" w:w="110"/>
              <w:bottom w:type="dxa" w:w="60"/>
              <w:right w:type="dxa" w:w="110"/>
            </w:tcMar>
          </w:tcPr>
          <w:p>
            <w:pPr>
              <w:spacing w:after="20" w:before="20" w:line="312"/>
              <w:jc w:val="left"/>
            </w:pPr>
            <w:r>
              <w:rPr>
                <w:rFonts w:ascii="Arial" w:cs="Arial" w:eastAsia="Arial" w:hAnsi="Arial"/>
                <w:b w:val="false"/>
                <w:bCs w:val="false"/>
                <w:color w:val="000000"/>
                <w:sz w:val="20"/>
                <w:szCs w:val="20"/>
              </w:rPr>
              <w:t xml:space="preserve">طراحی سیستم</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FA</w:t>
            </w:r>
          </w:p>
        </w:tc>
        <w:tc>
          <w:tcPr>
            <w:tcW w:type="pct" w:w="2000"/>
            <w:tcMar>
              <w:top w:type="dxa" w:w="60"/>
              <w:left w:type="dxa" w:w="110"/>
              <w:bottom w:type="dxa" w:w="60"/>
              <w:right w:type="dxa" w:w="110"/>
            </w:tcMar>
          </w:tcPr>
          <w:p>
            <w:pPr>
              <w:spacing w:after="20" w:before="20" w:line="312"/>
              <w:jc w:val="left"/>
            </w:pPr>
            <w:r>
              <w:rPr>
                <w:rFonts w:ascii="Arial" w:cs="Arial" w:eastAsia="Arial" w:hAnsi="Arial"/>
                <w:b w:val="false"/>
                <w:bCs w:val="false"/>
                <w:color w:val="000000"/>
                <w:sz w:val="20"/>
                <w:szCs w:val="20"/>
              </w:rPr>
              <w:t xml:space="preserve">طراحی سیستم; آموزش مصاحبه تخنیکی</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Persian-first primer series (content item 4)</w:t>
            </w:r>
          </w:p>
        </w:tc>
      </w:tr>
      <w:tr>
        <w:trPr>
          <w:cantSplit/>
        </w:trPr>
        <w:tc>
          <w:tcPr>
            <w:tcW w:type="pct" w:w="1000"/>
            <w:tcMar>
              <w:top w:type="dxa" w:w="60"/>
              <w:left w:type="dxa" w:w="110"/>
              <w:bottom w:type="dxa" w:w="60"/>
              <w:right w:type="dxa" w:w="110"/>
            </w:tcMar>
          </w:tcPr>
          <w:p>
            <w:pPr>
              <w:spacing w:after="20" w:before="20" w:line="312"/>
              <w:jc w:val="left"/>
            </w:pPr>
            <w:r>
              <w:rPr>
                <w:rFonts w:ascii="Arial" w:cs="Arial" w:eastAsia="Arial" w:hAnsi="Arial"/>
                <w:b w:val="false"/>
                <w:bCs w:val="false"/>
                <w:color w:val="000000"/>
                <w:sz w:val="20"/>
                <w:szCs w:val="20"/>
              </w:rPr>
              <w:t xml:space="preserve">استخدام و رواددد</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FA</w:t>
            </w:r>
          </w:p>
        </w:tc>
        <w:tc>
          <w:tcPr>
            <w:tcW w:type="pct" w:w="2000"/>
            <w:tcMar>
              <w:top w:type="dxa" w:w="60"/>
              <w:left w:type="dxa" w:w="110"/>
              <w:bottom w:type="dxa" w:w="60"/>
              <w:right w:type="dxa" w:w="110"/>
            </w:tcMar>
          </w:tcPr>
          <w:p>
            <w:pPr>
              <w:spacing w:after="20" w:before="20" w:line="312"/>
              <w:jc w:val="left"/>
            </w:pPr>
            <w:r>
              <w:rPr>
                <w:rFonts w:ascii="Arial" w:cs="Arial" w:eastAsia="Arial" w:hAnsi="Arial"/>
                <w:b w:val="false"/>
                <w:bCs w:val="false"/>
                <w:color w:val="000000"/>
                <w:sz w:val="20"/>
                <w:szCs w:val="20"/>
              </w:rPr>
              <w:t xml:space="preserve">رزومه برنامه‌نویس; مشاوره کاری برنامه‌نویس</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Salary/negotiation and relocation guides</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Cadence and measurement: two long-form pieces and six question pages per month at steady state, with Persian and English alternating weeks until the content lead is full-time. </w:t>
      </w:r>
      <w:r>
        <w:rPr>
          <w:rFonts w:ascii="Times New Roman" w:cs="Arial" w:eastAsia="SimSun" w:hAnsi="Times New Roman"/>
          <w:b w:val="false"/>
          <w:bCs w:val="false"/>
          <w:i w:val="false"/>
          <w:iCs w:val="false"/>
          <w:color w:val="000000"/>
          <w:sz w:val="24"/>
          <w:szCs w:val="24"/>
        </w:rPr>
        <w:t xml:space="preserve">Cluster success is judged by positions on the head terms above, impressions-to-first-session conversion, and — critically — whether organic entrants activate (Section 1 table) better than other channels; clusters that acquire well but do not activate get pruned, not endlessly expanded.</w:t>
      </w:r>
    </w:p>
    <w:p>
      <w:pPr>
        <w:pStyle w:val="Heading2"/>
        <w:spacing w:after="120" w:before="280" w:line="312"/>
      </w:pPr>
      <w:bookmarkStart w:name="_Toc25" w:id="25"/>
      <w:r>
        <w:rPr>
          <w:rFonts w:ascii="Times New Roman" w:cs="Arial" w:eastAsia="SimHei" w:hAnsi="Times New Roman"/>
          <w:b/>
          <w:bCs/>
          <w:color w:val="1A2330"/>
          <w:sz w:val="28"/>
          <w:szCs w:val="28"/>
        </w:rPr>
        <w:t xml:space="preserve">5.3 Persian Tech Community Playbook (Telegram, X, LinkedIn, YouTube)</w:t>
      </w:r>
      <w:bookmarkEnd w:id="25"/>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Persian-speaking developers live on Telegram; every other channel is secondary for that audience. </w:t>
      </w:r>
      <w:r>
        <w:rPr>
          <w:rFonts w:ascii="Times New Roman" w:cs="Arial" w:eastAsia="SimSun" w:hAnsi="Times New Roman"/>
          <w:b w:val="false"/>
          <w:bCs w:val="false"/>
          <w:i w:val="false"/>
          <w:iCs w:val="false"/>
          <w:color w:val="000000"/>
          <w:sz w:val="24"/>
          <w:szCs w:val="24"/>
        </w:rPr>
        <w:t xml:space="preserve">The playbook is a fixed weekly cadence per channel, executable by the founder plus one community-savvy part-time helper, and it front-loads giving: prep tips, honest takes, and free tools before any product ask. </w:t>
      </w:r>
      <w:r>
        <w:rPr>
          <w:rFonts w:ascii="Times New Roman" w:cs="Arial" w:eastAsia="SimSun" w:hAnsi="Times New Roman"/>
          <w:b w:val="false"/>
          <w:bCs w:val="false"/>
          <w:i w:val="false"/>
          <w:iCs w:val="false"/>
          <w:color w:val="000000"/>
          <w:sz w:val="24"/>
          <w:szCs w:val="24"/>
        </w:rPr>
        <w:t xml:space="preserve">English-speaking audiences are reached through the founder's build-in-public presence and the open-source artifacts rather than a dedicated content treadmill.</w:t>
      </w:r>
    </w:p>
    <w:p>
      <w:pPr>
        <w:keepNext/>
        <w:spacing w:after="100" w:before="200" w:line="312"/>
        <w:jc w:val="left"/>
      </w:pPr>
      <w:r>
        <w:rPr>
          <w:rFonts w:ascii="Times New Roman" w:cs="Arial" w:eastAsia="SimSun" w:hAnsi="Times New Roman"/>
          <w:b/>
          <w:bCs/>
          <w:color w:val="1A2330"/>
          <w:sz w:val="21"/>
          <w:szCs w:val="21"/>
        </w:rPr>
        <w:t xml:space="preserve">Table 11.  </w:t>
      </w:r>
      <w:r>
        <w:rPr>
          <w:rFonts w:ascii="Times New Roman" w:cs="Arial" w:eastAsia="SimSun" w:hAnsi="Times New Roman"/>
          <w:color w:val="5A6572"/>
          <w:sz w:val="21"/>
          <w:szCs w:val="21"/>
        </w:rPr>
        <w:t xml:space="preserve">Channel playbook with first-90-days cadence. Telegram is the primary Persian surface.</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494"/>
        <w:gridCol w:w="1933"/>
        <w:gridCol w:w="1055"/>
        <w:gridCol w:w="4306"/>
      </w:tblGrid>
      <w:tr>
        <w:trPr>
          <w:cantSplit/>
          <w:tblHeader/>
        </w:trPr>
        <w:tc>
          <w:tcPr>
            <w:tcW w:type="pct" w:w="8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Channel</w:t>
            </w:r>
          </w:p>
        </w:tc>
        <w:tc>
          <w:tcPr>
            <w:tcW w:type="pct" w:w="11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Role</w:t>
            </w:r>
          </w:p>
        </w:tc>
        <w:tc>
          <w:tcPr>
            <w:tcW w:type="pct" w:w="6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Cadence</w:t>
            </w:r>
          </w:p>
        </w:tc>
        <w:tc>
          <w:tcPr>
            <w:tcW w:type="pct" w:w="24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First 90 days</w:t>
            </w:r>
          </w:p>
        </w:tc>
      </w:tr>
      <w:tr>
        <w:trPr>
          <w:cantSplit/>
        </w:trPr>
        <w:tc>
          <w:tcPr>
            <w:tcW w:type="pct" w:w="8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Telegram (own FA channel)</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Daily habit anchor and community home</w:t>
            </w:r>
          </w:p>
        </w:tc>
        <w:tc>
          <w:tcPr>
            <w:tcW w:type="pct" w:w="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Daily</w:t>
            </w:r>
          </w:p>
        </w:tc>
        <w:tc>
          <w:tcPr>
            <w:tcW w:type="pct" w:w="2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Daily Challenge crosspost at a fixed hour; 2 partner-channel collaborations per month; first monthly voice AMA in week 6</w:t>
            </w:r>
          </w:p>
        </w:tc>
      </w:tr>
      <w:tr>
        <w:trPr>
          <w:cantSplit/>
        </w:trPr>
        <w:tc>
          <w:tcPr>
            <w:tcW w:type="pct" w:w="8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Telegram (partner channels)</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Borrowed reach inside existing dev communities</w:t>
            </w:r>
          </w:p>
        </w:tc>
        <w:tc>
          <w:tcPr>
            <w:tcW w:type="pct" w:w="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Weekly</w:t>
            </w:r>
          </w:p>
        </w:tc>
        <w:tc>
          <w:tcPr>
            <w:tcW w:type="pct" w:w="2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Map 20 viable Persian dev channels; 2–3 content collaborations per month (prep threads, challenge takeovers)</w:t>
            </w:r>
          </w:p>
        </w:tc>
      </w:tr>
      <w:tr>
        <w:trPr>
          <w:cantSplit/>
        </w:trPr>
        <w:tc>
          <w:tcPr>
            <w:tcW w:type="pct" w:w="8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X / Twitter</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EN + FA build-in-public; founder credibility</w:t>
            </w:r>
          </w:p>
        </w:tc>
        <w:tc>
          <w:tcPr>
            <w:tcW w:type="pct" w:w="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3–4 posts/week</w:t>
            </w:r>
          </w:p>
        </w:tc>
        <w:tc>
          <w:tcPr>
            <w:tcW w:type="pct" w:w="2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Ship-log threads; share user milestones (with permission); engage EN interview-prep community</w:t>
            </w:r>
          </w:p>
        </w:tc>
      </w:tr>
      <w:tr>
        <w:trPr>
          <w:cantSplit/>
        </w:trPr>
        <w:tc>
          <w:tcPr>
            <w:tcW w:type="pct" w:w="8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LinkedIn</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Diaspora professionals; B2B visibility for bootcamps</w:t>
            </w:r>
          </w:p>
        </w:tc>
        <w:tc>
          <w:tcPr>
            <w:tcW w:type="pct" w:w="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 posts/week</w:t>
            </w:r>
          </w:p>
        </w:tc>
        <w:tc>
          <w:tcPr>
            <w:tcW w:type="pct" w:w="2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Persian+English bilingual posts; cohort partnership announcements; hiring-manager content</w:t>
            </w:r>
          </w:p>
        </w:tc>
      </w:tr>
      <w:tr>
        <w:trPr>
          <w:cantSplit/>
        </w:trPr>
        <w:tc>
          <w:tcPr>
            <w:tcW w:type="pct" w:w="8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YouTube</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 mock-interview breakdowns; trust through faces</w:t>
            </w:r>
          </w:p>
        </w:tc>
        <w:tc>
          <w:tcPr>
            <w:tcW w:type="pct" w:w="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 videos/month</w:t>
            </w:r>
          </w:p>
        </w:tc>
        <w:tc>
          <w:tcPr>
            <w:tcW w:type="pct" w:w="2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“Real mock interview, real feedback” Persian episodes; shorts cut from Daily Challenge explanations</w:t>
            </w:r>
          </w:p>
        </w:tc>
      </w:tr>
      <w:tr>
        <w:trPr>
          <w:cantSplit/>
        </w:trPr>
        <w:tc>
          <w:tcPr>
            <w:tcW w:type="pct" w:w="8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GitHub</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Developer credibility; contributor funnel</w:t>
            </w:r>
          </w:p>
        </w:tc>
        <w:tc>
          <w:tcPr>
            <w:tcW w:type="pct" w:w="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Quarterly</w:t>
            </w:r>
          </w:p>
        </w:tc>
        <w:tc>
          <w:tcPr>
            <w:tcW w:type="pct" w:w="2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Open question-seed releases (loop 6); public catalog-change log</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Community trust rules are non-negotiable and mirror the brand: no fake urgency, no engagement bait, every claim of a user milestone verifiable. </w:t>
      </w:r>
      <w:r>
        <w:rPr>
          <w:rFonts w:ascii="Times New Roman" w:cs="Arial" w:eastAsia="SimSun" w:hAnsi="Times New Roman"/>
          <w:b w:val="false"/>
          <w:bCs w:val="false"/>
          <w:i w:val="false"/>
          <w:iCs w:val="false"/>
          <w:color w:val="000000"/>
          <w:sz w:val="24"/>
          <w:szCs w:val="24"/>
        </w:rPr>
        <w:t xml:space="preserve">The monthly voice AMA doubles as research — recurring questions become question-bank entries, closing the loop between community and content. </w:t>
      </w:r>
      <w:r>
        <w:rPr>
          <w:rFonts w:ascii="Times New Roman" w:cs="Arial" w:eastAsia="SimSun" w:hAnsi="Times New Roman"/>
          <w:b w:val="false"/>
          <w:bCs w:val="false"/>
          <w:i w:val="false"/>
          <w:iCs w:val="false"/>
          <w:color w:val="000000"/>
          <w:sz w:val="24"/>
          <w:szCs w:val="24"/>
        </w:rPr>
        <w:t xml:space="preserve">Success metrics: own-channel growth rate, challenge-participation rate from channel posts (tracked via deep links), and qualitative sentiment in partner communities; subscriber counts are explicitly a vanity metric here.</w:t>
      </w:r>
    </w:p>
    <w:p>
      <w:pPr>
        <w:pStyle w:val="Heading2"/>
        <w:spacing w:after="120" w:before="280" w:line="312"/>
      </w:pPr>
      <w:bookmarkStart w:name="_Toc26" w:id="26"/>
      <w:r>
        <w:rPr>
          <w:rFonts w:ascii="Times New Roman" w:cs="Arial" w:eastAsia="SimHei" w:hAnsi="Times New Roman"/>
          <w:b/>
          <w:bCs/>
          <w:color w:val="1A2330"/>
          <w:sz w:val="28"/>
          <w:szCs w:val="28"/>
        </w:rPr>
        <w:t xml:space="preserve">5.4 Partnerships and Distribution Channels</w:t>
      </w:r>
      <w:bookmarkEnd w:id="26"/>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Partnerships focus on organizations that already aggregate Persian-speaking learners. </w:t>
      </w:r>
      <w:r>
        <w:rPr>
          <w:rFonts w:ascii="Times New Roman" w:cs="Arial" w:eastAsia="SimSun" w:hAnsi="Times New Roman"/>
          <w:b w:val="false"/>
          <w:bCs w:val="false"/>
          <w:i w:val="false"/>
          <w:iCs w:val="false"/>
          <w:color w:val="000000"/>
          <w:sz w:val="24"/>
          <w:szCs w:val="24"/>
        </w:rPr>
        <w:t xml:space="preserve">Targets in priority order: Iranian coding bootcamps and competitive-programming platforms (for example Quera and Maktab Sharif cohort programs) for curriculum partnerships; diaspora tech communities and retraining programs (for example ReDI School-type organizations in Europe) for workshop collaborations; university career clubs inside Iran for exam-season prep weeks; and relocation agencies serving Persian-speaking engineers for the relocation guide's distribution. </w:t>
      </w:r>
      <w:r>
        <w:rPr>
          <w:rFonts w:ascii="Times New Roman" w:cs="Arial" w:eastAsia="SimSun" w:hAnsi="Times New Roman"/>
          <w:b w:val="false"/>
          <w:bCs w:val="false"/>
          <w:i w:val="false"/>
          <w:iCs w:val="false"/>
          <w:color w:val="000000"/>
          <w:sz w:val="24"/>
          <w:szCs w:val="24"/>
        </w:rPr>
        <w:t xml:space="preserve">The partnership product is co-branded prep weeks: a two-week guided plan built from the existing roadmap stages and Daily Challenge, white-labeled for the partner's cohort, with a shared readiness dashboard for cohort leads (the B2B pilot of Section 6.4). </w:t>
      </w:r>
      <w:r>
        <w:rPr>
          <w:rFonts w:ascii="Times New Roman" w:cs="Arial" w:eastAsia="SimSun" w:hAnsi="Times New Roman"/>
          <w:b w:val="false"/>
          <w:bCs w:val="false"/>
          <w:i w:val="false"/>
          <w:iCs w:val="false"/>
          <w:color w:val="000000"/>
          <w:sz w:val="24"/>
          <w:szCs w:val="24"/>
        </w:rPr>
        <w:t xml:space="preserve">Each partnership is structured to be revenue-positive or learning-positive; free logo swaps are declined.</w:t>
      </w:r>
    </w:p>
    <w:p>
      <w:pPr>
        <w:pStyle w:val="Heading2"/>
        <w:spacing w:after="120" w:before="280" w:line="312"/>
      </w:pPr>
      <w:bookmarkStart w:name="_Toc27" w:id="27"/>
      <w:r>
        <w:rPr>
          <w:rFonts w:ascii="Times New Roman" w:cs="Arial" w:eastAsia="SimHei" w:hAnsi="Times New Roman"/>
          <w:b/>
          <w:bCs/>
          <w:color w:val="1A2330"/>
          <w:sz w:val="28"/>
          <w:szCs w:val="28"/>
        </w:rPr>
        <w:t xml:space="preserve">5.5 Referral and Viral Mechanics</w:t>
      </w:r>
      <w:bookmarkEnd w:id="27"/>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referral system converts the brand's natural word-of-mouth into a measured loop once accounts exist. </w:t>
      </w:r>
      <w:r>
        <w:rPr>
          <w:rFonts w:ascii="Times New Roman" w:cs="Arial" w:eastAsia="SimSun" w:hAnsi="Times New Roman"/>
          <w:b w:val="false"/>
          <w:bCs w:val="false"/>
          <w:i w:val="false"/>
          <w:iCs w:val="false"/>
          <w:color w:val="000000"/>
          <w:sz w:val="24"/>
          <w:szCs w:val="24"/>
        </w:rPr>
        <w:t xml:space="preserve">Mechanics: every account gets a personal invite link; when a friend activates (per the Section 1 definition), both sides receive a streak freeze; at 3 successful invites the referrer earns a month of Pro; at 5, a lifetime 30% discount on the annual plan. </w:t>
      </w:r>
      <w:r>
        <w:rPr>
          <w:rFonts w:ascii="Times New Roman" w:cs="Arial" w:eastAsia="SimSun" w:hAnsi="Times New Roman"/>
          <w:b w:val="false"/>
          <w:bCs w:val="false"/>
          <w:i w:val="false"/>
          <w:iCs w:val="false"/>
          <w:color w:val="000000"/>
          <w:sz w:val="24"/>
          <w:szCs w:val="24"/>
        </w:rPr>
        <w:t xml:space="preserve">Rewards are deliberately habit-aligned (streak protection) rather than cash, keeping cost near zero and self-selection high. </w:t>
      </w:r>
      <w:r>
        <w:rPr>
          <w:rFonts w:ascii="Times New Roman" w:cs="Arial" w:eastAsia="SimSun" w:hAnsi="Times New Roman"/>
          <w:b w:val="false"/>
          <w:bCs w:val="false"/>
          <w:i w:val="false"/>
          <w:iCs w:val="false"/>
          <w:color w:val="000000"/>
          <w:sz w:val="24"/>
          <w:szCs w:val="24"/>
        </w:rPr>
        <w:t xml:space="preserve">The shareable progress card and challenge-a-friend loops (5.1) act as the referral program's upper funnel; the K-factor target is 0.15 by month 9 — modest, compounding, and measured from the analytics baseline rather than claimed.</w:t>
      </w:r>
    </w:p>
    <w:p>
      <w:pPr>
        <w:pStyle w:val="Heading2"/>
        <w:spacing w:after="120" w:before="280" w:line="312"/>
      </w:pPr>
      <w:bookmarkStart w:name="_Toc28" w:id="28"/>
      <w:r>
        <w:rPr>
          <w:rFonts w:ascii="Times New Roman" w:cs="Arial" w:eastAsia="SimHei" w:hAnsi="Times New Roman"/>
          <w:b/>
          <w:bCs/>
          <w:color w:val="1A2330"/>
          <w:sz w:val="28"/>
          <w:szCs w:val="28"/>
        </w:rPr>
        <w:t xml:space="preserve">5.6 Launch and Ongoing Distribution Playbook</w:t>
      </w:r>
      <w:bookmarkEnd w:id="28"/>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launch is a coordinated bilingual moment, not a single Product Hunt spike. </w:t>
      </w:r>
      <w:r>
        <w:rPr>
          <w:rFonts w:ascii="Times New Roman" w:cs="Arial" w:eastAsia="SimSun" w:hAnsi="Times New Roman"/>
          <w:b w:val="false"/>
          <w:bCs w:val="false"/>
          <w:i w:val="false"/>
          <w:iCs w:val="false"/>
          <w:color w:val="000000"/>
          <w:sz w:val="24"/>
          <w:szCs w:val="24"/>
        </w:rPr>
        <w:t xml:space="preserve">T-minus 4 weeks: analytics and the quick-win pack (Section 8) live; seed 300 Telegram members from existing communities; prepare the founder story in both languages. </w:t>
      </w:r>
      <w:r>
        <w:rPr>
          <w:rFonts w:ascii="Times New Roman" w:cs="Arial" w:eastAsia="SimSun" w:hAnsi="Times New Roman"/>
          <w:b w:val="false"/>
          <w:bCs w:val="false"/>
          <w:i w:val="false"/>
          <w:iCs w:val="false"/>
          <w:color w:val="000000"/>
          <w:sz w:val="24"/>
          <w:szCs w:val="24"/>
        </w:rPr>
        <w:t xml:space="preserve">T-0: Product Hunt launch (English) the same week as the Telegram channel launch event (Persian) with a live challenge and prizes of Pro founder licenses; the Persian side is the primary bet, the English side the credibility halo. </w:t>
      </w:r>
      <w:r>
        <w:rPr>
          <w:rFonts w:ascii="Times New Roman" w:cs="Arial" w:eastAsia="SimSun" w:hAnsi="Times New Roman"/>
          <w:b w:val="false"/>
          <w:bCs w:val="false"/>
          <w:i w:val="false"/>
          <w:iCs w:val="false"/>
          <w:color w:val="000000"/>
          <w:sz w:val="24"/>
          <w:szCs w:val="24"/>
        </w:rPr>
        <w:t xml:space="preserve">Weeks 1–4 post-launch: daily presence, two AMA sessions, first partner co-branded prep week. </w:t>
      </w:r>
      <w:r>
        <w:rPr>
          <w:rFonts w:ascii="Times New Roman" w:cs="Arial" w:eastAsia="SimSun" w:hAnsi="Times New Roman"/>
          <w:b w:val="false"/>
          <w:bCs w:val="false"/>
          <w:i w:val="false"/>
          <w:iCs w:val="false"/>
          <w:color w:val="000000"/>
          <w:sz w:val="24"/>
          <w:szCs w:val="24"/>
        </w:rPr>
        <w:t xml:space="preserve">Steady state thereafter: the weekly cadence of Section 5.3, one original content piece per week minimum, a quarterly “state of the catalog” note, and a monthly metrics review that reallocates effort across loops based on measured contribution.</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Layout w:type="fixed"/>
      </w:tblPr>
      <w:tblGrid>
        <w:gridCol w:w="8788"/>
      </w:tblGrid>
      <w:tr>
        <w:trPr>
          <w:cantSplit/>
        </w:trPr>
        <w:tc>
          <w:tcPr>
            <w:tcW w:type="pct" w:w="5000"/>
            <w:shd w:fill="F8F0EB" w:val="clear"/>
            <w:tcMar>
              <w:top w:type="dxa" w:w="110"/>
              <w:left w:type="dxa" w:w="160"/>
              <w:bottom w:type="dxa" w:w="110"/>
              <w:right w:type="dxa" w:w="160"/>
            </w:tcMar>
          </w:tcPr>
          <w:p>
            <w:pPr>
              <w:spacing w:after="60" w:line="312"/>
            </w:pPr>
            <w:r>
              <w:rPr>
                <w:rFonts w:ascii="Times New Roman" w:cs="Arial" w:eastAsia="SimSun" w:hAnsi="Times New Roman"/>
                <w:b/>
                <w:bCs/>
                <w:color w:val="1A2330"/>
                <w:sz w:val="22"/>
                <w:szCs w:val="22"/>
              </w:rPr>
              <w:t xml:space="preserve">Growth thesis</w:t>
            </w:r>
          </w:p>
          <w:p>
            <w:pPr>
              <w:spacing w:after="0" w:line="312"/>
            </w:pPr>
            <w:r>
              <w:rPr>
                <w:rFonts w:ascii="Times New Roman" w:cs="Arial" w:eastAsia="SimSun" w:hAnsi="Times New Roman"/>
                <w:b w:val="false"/>
                <w:bCs w:val="false"/>
                <w:i w:val="false"/>
                <w:iCs w:val="false"/>
                <w:color w:val="000000"/>
                <w:sz w:val="21"/>
                <w:szCs w:val="21"/>
              </w:rPr>
              <w:t xml:space="preserve">Distribution for DevReady is not an ad budget — it is Persian-language artifacts of effort, shared by learners into the exact communities where future learners already gather, on a cadence the team can sustain without burnout.</w:t>
            </w:r>
          </w:p>
        </w:tc>
      </w:tr>
    </w:tbl>
    <w:p>
      <w:pPr>
        <w:pStyle w:val="Heading1"/>
        <w:spacing w:after="180" w:before="400" w:line="312"/>
      </w:pPr>
      <w:bookmarkStart w:name="_Toc29" w:id="29"/>
      <w:r>
        <w:rPr>
          <w:rFonts w:ascii="Times New Roman" w:cs="Arial" w:eastAsia="SimHei" w:hAnsi="Times New Roman"/>
          <w:b/>
          <w:bCs/>
          <w:color w:val="1A2330"/>
          <w:sz w:val="32"/>
          <w:szCs w:val="32"/>
        </w:rPr>
        <w:t xml:space="preserve">6. Monetization Strategy</w:t>
      </w:r>
      <w:bookmarkEnd w:id="29"/>
    </w:p>
    <w:p>
      <w:pPr>
        <w:pStyle w:val="Heading2"/>
        <w:spacing w:after="120" w:before="280" w:line="312"/>
      </w:pPr>
      <w:bookmarkStart w:name="_Toc30" w:id="30"/>
      <w:r>
        <w:rPr>
          <w:rFonts w:ascii="Times New Roman" w:cs="Arial" w:eastAsia="SimHei" w:hAnsi="Times New Roman"/>
          <w:b/>
          <w:bCs/>
          <w:color w:val="1A2330"/>
          <w:sz w:val="28"/>
          <w:szCs w:val="28"/>
        </w:rPr>
        <w:t xml:space="preserve">6.1 The Free-Forever Covenant and the Free/Pro Split</w:t>
      </w:r>
      <w:bookmarkEnd w:id="30"/>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free tier is a covenant, not a trial: the complete 636-resource library, Daily Challenge with streaks, Roadmap and role paths, Review Deck, local tracking and notes, and JSON export of all local data stay free forever. </w:t>
      </w:r>
      <w:r>
        <w:rPr>
          <w:rFonts w:ascii="Times New Roman" w:cs="Arial" w:eastAsia="SimSun" w:hAnsi="Times New Roman"/>
          <w:b w:val="false"/>
          <w:bCs w:val="false"/>
          <w:i w:val="false"/>
          <w:iCs w:val="false"/>
          <w:color w:val="000000"/>
          <w:sz w:val="24"/>
          <w:szCs w:val="24"/>
        </w:rPr>
        <w:t xml:space="preserve">Three reasons make this the rational foundation rather than generosity: first, curation is the acquisition engine and paywalling it would strangle the top of the funnel; second, the market's price sensitivity and payment friction (Section 6.3) mean a hard paywall would exclude the exact audience the mission targets; third, every competitor's paid tier is a content tier — DevReady's paid tier can be an intelligence tier, which is a much easier ethical sell. </w:t>
      </w:r>
      <w:r>
        <w:rPr>
          <w:rFonts w:ascii="Times New Roman" w:cs="Arial" w:eastAsia="SimSun" w:hAnsi="Times New Roman"/>
          <w:b w:val="false"/>
          <w:bCs w:val="false"/>
          <w:i w:val="false"/>
          <w:iCs w:val="false"/>
          <w:color w:val="000000"/>
          <w:sz w:val="24"/>
          <w:szCs w:val="24"/>
        </w:rPr>
        <w:t xml:space="preserve">Pro sells convenience, capacity and intelligence — never the library.</w:t>
      </w:r>
    </w:p>
    <w:p>
      <w:pPr>
        <w:keepNext/>
        <w:spacing w:after="100" w:before="200" w:line="312"/>
        <w:jc w:val="left"/>
      </w:pPr>
      <w:r>
        <w:rPr>
          <w:rFonts w:ascii="Times New Roman" w:cs="Arial" w:eastAsia="SimSun" w:hAnsi="Times New Roman"/>
          <w:b/>
          <w:bCs/>
          <w:color w:val="1A2330"/>
          <w:sz w:val="21"/>
          <w:szCs w:val="21"/>
        </w:rPr>
        <w:t xml:space="preserve">Table 12.  </w:t>
      </w:r>
      <w:r>
        <w:rPr>
          <w:rFonts w:ascii="Times New Roman" w:cs="Arial" w:eastAsia="SimSun" w:hAnsi="Times New Roman"/>
          <w:color w:val="5A6572"/>
          <w:sz w:val="21"/>
          <w:szCs w:val="21"/>
        </w:rPr>
        <w:t xml:space="preserve">Free versus Pro feature split. The boundary rule: if locking it would harm someone's job hunt, it stays free.</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4042"/>
        <w:gridCol w:w="2285"/>
        <w:gridCol w:w="2461"/>
      </w:tblGrid>
      <w:tr>
        <w:trPr>
          <w:cantSplit/>
          <w:tblHeader/>
        </w:trPr>
        <w:tc>
          <w:tcPr>
            <w:tcW w:type="pct" w:w="23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Capability</w:t>
            </w:r>
          </w:p>
        </w:tc>
        <w:tc>
          <w:tcPr>
            <w:tcW w:type="pct" w:w="13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Free (forever)</w:t>
            </w:r>
          </w:p>
        </w:tc>
        <w:tc>
          <w:tcPr>
            <w:tcW w:type="pct" w:w="14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Pro</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Full resource library and categories</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Yes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Yes</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Daily Challenge, streaks, Review Deck, roadmap, local tracking, notes</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Yes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Yes</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Data export (JSON), account deletion</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Yes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Yes</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Cloud sync across devices</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Local only</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Yes, unlimited devices</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Question bank</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Rotating free set (e.g., 25 of 100)</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Full bank with model answers and hint ladders</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Build-time AI hints and digest cards</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Core set</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Extended set</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AI mock interviews (Phase B)</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 sessions/month, then credit top-ups</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Readiness analytics deep-dive (trends, weak-topic breakdowns)</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Headline score</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Full analytics</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Company guide deep packs</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Standard guides</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Interview-loop breakdowns and question sets</w:t>
            </w:r>
          </w:p>
        </w:tc>
      </w:tr>
      <w:tr>
        <w:trPr>
          <w:cantSplit/>
        </w:trPr>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Priority Suggest-a-Resource review</w:t>
            </w:r>
          </w:p>
        </w:tc>
        <w:tc>
          <w:tcPr>
            <w:tcW w:type="pct" w:w="1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48-hour triage like everyone</w:t>
            </w:r>
          </w:p>
        </w:tc>
        <w:tc>
          <w:tcPr>
            <w:tcW w:type="pct" w:w="1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Fast lane + accepted-credit fast track</w:t>
            </w:r>
          </w:p>
        </w:tc>
      </w:tr>
    </w:tbl>
    <w:p>
      <w:pPr>
        <w:pStyle w:val="Heading2"/>
        <w:spacing w:after="120" w:before="280" w:line="312"/>
      </w:pPr>
      <w:bookmarkStart w:name="_Toc31" w:id="31"/>
      <w:r>
        <w:rPr>
          <w:rFonts w:ascii="Times New Roman" w:cs="Arial" w:eastAsia="SimHei" w:hAnsi="Times New Roman"/>
          <w:b/>
          <w:bCs/>
          <w:color w:val="1A2330"/>
          <w:sz w:val="28"/>
          <w:szCs w:val="28"/>
        </w:rPr>
        <w:t xml:space="preserve">6.2 Pricing Tiers and Conversion Logic</w:t>
      </w:r>
      <w:bookmarkEnd w:id="31"/>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Pricing is anchored against verified competitor points (GreatFrontEnd $120/year and $180 lifetime; NeetCode Pro $119/year and $297 lifetime) and undercut meaningfully, because DevReady is the challenger brand and its audience has lower purchasing power. </w:t>
      </w:r>
      <w:r>
        <w:rPr>
          <w:rFonts w:ascii="Times New Roman" w:cs="Arial" w:eastAsia="SimSun" w:hAnsi="Times New Roman"/>
          <w:b w:val="false"/>
          <w:bCs w:val="false"/>
          <w:i w:val="false"/>
          <w:iCs w:val="false"/>
          <w:color w:val="000000"/>
          <w:sz w:val="24"/>
          <w:szCs w:val="24"/>
        </w:rPr>
        <w:t xml:space="preserve">Launch pricing: Pro at $9 per month, $69 per year, and a Founder Lifetime at $149 limited to the first 500 supporters. </w:t>
      </w:r>
      <w:r>
        <w:rPr>
          <w:rFonts w:ascii="Times New Roman" w:cs="Arial" w:eastAsia="SimSun" w:hAnsi="Times New Roman"/>
          <w:b w:val="false"/>
          <w:bCs w:val="false"/>
          <w:i w:val="false"/>
          <w:iCs w:val="false"/>
          <w:color w:val="000000"/>
          <w:sz w:val="24"/>
          <w:szCs w:val="24"/>
        </w:rPr>
        <w:t xml:space="preserve">The lifetime tier is both revenue acceleration and community-building — the 500 founders become the loudest advocates and the most forgiving early adopters. </w:t>
      </w:r>
      <w:r>
        <w:rPr>
          <w:rFonts w:ascii="Times New Roman" w:cs="Arial" w:eastAsia="SimSun" w:hAnsi="Times New Roman"/>
          <w:b w:val="false"/>
          <w:bCs w:val="false"/>
          <w:i w:val="false"/>
          <w:iCs w:val="false"/>
          <w:color w:val="000000"/>
          <w:sz w:val="24"/>
          <w:szCs w:val="24"/>
        </w:rPr>
        <w:t xml:space="preserve">Regional Pro serves Iran-based users at roughly 40–60% of global pricing through local rails (Section 6.3), priced in local currency to remove both the payment barrier and the exchange-rate guessing.</w:t>
      </w:r>
    </w:p>
    <w:p>
      <w:pPr>
        <w:keepNext/>
        <w:spacing w:after="100" w:before="200" w:line="312"/>
        <w:jc w:val="left"/>
      </w:pPr>
      <w:r>
        <w:rPr>
          <w:rFonts w:ascii="Times New Roman" w:cs="Arial" w:eastAsia="SimSun" w:hAnsi="Times New Roman"/>
          <w:b/>
          <w:bCs/>
          <w:color w:val="1A2330"/>
          <w:sz w:val="21"/>
          <w:szCs w:val="21"/>
        </w:rPr>
        <w:t xml:space="preserve">Table 13.  </w:t>
      </w:r>
      <w:r>
        <w:rPr>
          <w:rFonts w:ascii="Times New Roman" w:cs="Arial" w:eastAsia="SimSun" w:hAnsi="Times New Roman"/>
          <w:color w:val="5A6572"/>
          <w:sz w:val="21"/>
          <w:szCs w:val="21"/>
        </w:rPr>
        <w:t xml:space="preserve">Pricing tiers (launch), anchors, and expected conversion logic.</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406"/>
        <w:gridCol w:w="1582"/>
        <w:gridCol w:w="2988"/>
        <w:gridCol w:w="2812"/>
      </w:tblGrid>
      <w:tr>
        <w:trPr>
          <w:cantSplit/>
          <w:tblHeader/>
        </w:trPr>
        <w:tc>
          <w:tcPr>
            <w:tcW w:type="pct" w:w="8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Tier</w:t>
            </w:r>
          </w:p>
        </w:tc>
        <w:tc>
          <w:tcPr>
            <w:tcW w:type="pct" w:w="9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Price</w:t>
            </w:r>
          </w:p>
        </w:tc>
        <w:tc>
          <w:tcPr>
            <w:tcW w:type="pct" w:w="17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Anchor and justification</w:t>
            </w:r>
          </w:p>
        </w:tc>
        <w:tc>
          <w:tcPr>
            <w:tcW w:type="pct" w:w="16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Expected conversion behavior</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w:t>
            </w:r>
          </w:p>
        </w:tc>
        <w:tc>
          <w:tcPr>
            <w:tcW w:type="pct" w:w="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$0, forever</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Competitors' free tiers are samples; DevReady's is the whole library</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Wide top-of-funnel; builds trust that powers all later conversion</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Pro monthly</w:t>
            </w:r>
          </w:p>
        </w:tc>
        <w:tc>
          <w:tcPr>
            <w:tcW w:type="pct" w:w="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$9/mo</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Half of GreatFrontEnd ($39/mo); impulse-friendly</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Late-stage preppers near interview dates</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Pro annual</w:t>
            </w:r>
          </w:p>
        </w:tc>
        <w:tc>
          <w:tcPr>
            <w:tcW w:type="pct" w:w="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$69/yr (~$5.75/mo)</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Undercuts GFE $120/yr and NeetCode $119/yr by ~40%</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Default recommendation; 8–16 week prep cycles fit annual naturally</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Founder Lifetime</w:t>
            </w:r>
          </w:p>
        </w:tc>
        <w:tc>
          <w:tcPr>
            <w:tcW w:type="pct" w:w="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$149 one-time, first 500</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Below GFE lifetime $180 and NeetCode $297</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Early believers and diaspora earners; funds the question bank build-out</w:t>
            </w:r>
          </w:p>
        </w:tc>
      </w:tr>
      <w:tr>
        <w:trPr>
          <w:cantSplit/>
        </w:trPr>
        <w:tc>
          <w:tcPr>
            <w:tcW w:type="pct" w:w="8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Regional Pro (Iran-based)</w:t>
            </w:r>
          </w:p>
        </w:tc>
        <w:tc>
          <w:tcPr>
            <w:tcW w:type="pct" w:w="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~40–60% of global, local currency</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Purchasing-power parity plus local payment rails</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Converts users global cards would exclude; identity kept via sync</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Conversion expectations are deliberately conservative: 2–4% of active accounts within 12 months of the Pro launch, concentrated in the final four weeks before users' interview dates. </w:t>
      </w:r>
      <w:r>
        <w:rPr>
          <w:rFonts w:ascii="Times New Roman" w:cs="Arial" w:eastAsia="SimSun" w:hAnsi="Times New Roman"/>
          <w:b w:val="false"/>
          <w:bCs w:val="false"/>
          <w:i w:val="false"/>
          <w:iCs w:val="false"/>
          <w:color w:val="000000"/>
          <w:sz w:val="24"/>
          <w:szCs w:val="24"/>
        </w:rPr>
        <w:t xml:space="preserve">The conversion triggers engineered into the product are honest ones: the readiness deep-dive upsell after a mock interview, sync prompts after progress accumulates on two devices, and the mock-interview quota itself. </w:t>
      </w:r>
      <w:r>
        <w:rPr>
          <w:rFonts w:ascii="Times New Roman" w:cs="Arial" w:eastAsia="SimSun" w:hAnsi="Times New Roman"/>
          <w:b w:val="false"/>
          <w:bCs w:val="false"/>
          <w:i w:val="false"/>
          <w:iCs w:val="false"/>
          <w:color w:val="000000"/>
          <w:sz w:val="24"/>
          <w:szCs w:val="24"/>
        </w:rPr>
        <w:t xml:space="preserve">No countdown timers, no crippled free tier, no “you completed this resource — pay to continue” patterns; each of those would trade short-term revenue for the brand asset this plan is built on.</w:t>
      </w:r>
    </w:p>
    <w:p>
      <w:pPr>
        <w:pStyle w:val="Heading2"/>
        <w:spacing w:after="120" w:before="280" w:line="312"/>
      </w:pPr>
      <w:bookmarkStart w:name="_Toc32" w:id="32"/>
      <w:r>
        <w:rPr>
          <w:rFonts w:ascii="Times New Roman" w:cs="Arial" w:eastAsia="SimHei" w:hAnsi="Times New Roman"/>
          <w:b/>
          <w:bCs/>
          <w:color w:val="1A2330"/>
          <w:sz w:val="28"/>
          <w:szCs w:val="28"/>
        </w:rPr>
        <w:t xml:space="preserve">6.3 The Iran Payment Reality, Handled Ethically</w:t>
      </w:r>
      <w:bookmarkEnd w:id="32"/>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International card networks do not process payments for Iran-resident cards, and third-party processors commonly refuse Iranian transactions; this is a hard constraint for any monetization aimed at the core audience. </w:t>
      </w:r>
      <w:r>
        <w:rPr>
          <w:rFonts w:ascii="Times New Roman" w:cs="Arial" w:eastAsia="SimSun" w:hAnsi="Times New Roman"/>
          <w:b w:val="false"/>
          <w:bCs w:val="false"/>
          <w:i w:val="false"/>
          <w:iCs w:val="false"/>
          <w:color w:val="000000"/>
          <w:sz w:val="24"/>
          <w:szCs w:val="24"/>
        </w:rPr>
        <w:t xml:space="preserve">The strategy is to be practical inside the rules: a licensed regional payment partner (ZarinPal-class local gateways operated by an Iranian legal entity) for Regional Pro in local currency; a gift-code distribution model through trusted resellers and community shops for users who prefer that; stablecoin (USDT) as an explicitly opt-in channel for diaspora-adjacent payments where legal; and a sponsored-seat pool funded by the diaspora (“sponsor a prepper”) that gives free Pro to users who cannot pay at all. </w:t>
      </w:r>
      <w:r>
        <w:rPr>
          <w:rFonts w:ascii="Times New Roman" w:cs="Arial" w:eastAsia="SimSun" w:hAnsi="Times New Roman"/>
          <w:b w:val="false"/>
          <w:bCs w:val="false"/>
          <w:i w:val="false"/>
          <w:iCs w:val="false"/>
          <w:color w:val="000000"/>
          <w:sz w:val="24"/>
          <w:szCs w:val="24"/>
        </w:rPr>
        <w:t xml:space="preserve">Two bright lines keep this clean: DevReady will never provide sanctions-evasion guidance, and Regional Pro purchases always run through licensed local entities — the platform itself stays neutral infrastructure. </w:t>
      </w:r>
      <w:r>
        <w:rPr>
          <w:rFonts w:ascii="Times New Roman" w:cs="Arial" w:eastAsia="SimSun" w:hAnsi="Times New Roman"/>
          <w:b w:val="false"/>
          <w:bCs w:val="false"/>
          <w:i w:val="false"/>
          <w:iCs w:val="false"/>
          <w:color w:val="000000"/>
          <w:sz w:val="24"/>
          <w:szCs w:val="24"/>
        </w:rPr>
        <w:t xml:space="preserve">Because the covenant (Section 6.1) keeps the entire library free, no user is excluded from the product's core value by any of these constraints; payment friction gates convenience, never opportunity.</w:t>
      </w:r>
    </w:p>
    <w:p>
      <w:pPr>
        <w:pStyle w:val="Heading2"/>
        <w:spacing w:after="120" w:before="280" w:line="312"/>
      </w:pPr>
      <w:bookmarkStart w:name="_Toc33" w:id="33"/>
      <w:r>
        <w:rPr>
          <w:rFonts w:ascii="Times New Roman" w:cs="Arial" w:eastAsia="SimHei" w:hAnsi="Times New Roman"/>
          <w:b/>
          <w:bCs/>
          <w:color w:val="1A2330"/>
          <w:sz w:val="28"/>
          <w:szCs w:val="28"/>
        </w:rPr>
        <w:t xml:space="preserve">6.4 B2B: Bootcamps, Companies, and Programs</w:t>
      </w:r>
      <w:bookmarkEnd w:id="33"/>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B2B is the second revenue engine, launched only after consumer Pro validates (month 6+). </w:t>
      </w:r>
      <w:r>
        <w:rPr>
          <w:rFonts w:ascii="Times New Roman" w:cs="Arial" w:eastAsia="SimSun" w:hAnsi="Times New Roman"/>
          <w:b w:val="false"/>
          <w:bCs w:val="false"/>
          <w:i w:val="false"/>
          <w:iCs w:val="false"/>
          <w:color w:val="000000"/>
          <w:sz w:val="24"/>
          <w:szCs w:val="24"/>
        </w:rPr>
        <w:t xml:space="preserve">The beachhead is bootcamps and cohort programs: a per-learner license of roughly $10–15 per term including cohort dashboards (who is active, readiness distribution, completed stages), curriculum mapping onto the roadmap stages, and white-labeled prep weeks (Section 5.4). </w:t>
      </w:r>
      <w:r>
        <w:rPr>
          <w:rFonts w:ascii="Times New Roman" w:cs="Arial" w:eastAsia="SimSun" w:hAnsi="Times New Roman"/>
          <w:b w:val="false"/>
          <w:bCs w:val="false"/>
          <w:i w:val="false"/>
          <w:iCs w:val="false"/>
          <w:color w:val="000000"/>
          <w:sz w:val="24"/>
          <w:szCs w:val="24"/>
        </w:rPr>
        <w:t xml:space="preserve">The second product is a hiring-side signal: opt-in readiness badges that employers can request from candidates, giving companies a cheap pre-screen and giving preppers a reason to keep scores honest. </w:t>
      </w:r>
      <w:r>
        <w:rPr>
          <w:rFonts w:ascii="Times New Roman" w:cs="Arial" w:eastAsia="SimSun" w:hAnsi="Times New Roman"/>
          <w:b w:val="false"/>
          <w:bCs w:val="false"/>
          <w:i w:val="false"/>
          <w:iCs w:val="false"/>
          <w:color w:val="000000"/>
          <w:sz w:val="24"/>
          <w:szCs w:val="24"/>
        </w:rPr>
        <w:t xml:space="preserve">Both products reuse 100% of existing infrastructure — roadmap, challenge, readiness score — so B2B effort is packaging and relationships, not new architecture. </w:t>
      </w:r>
      <w:r>
        <w:rPr>
          <w:rFonts w:ascii="Times New Roman" w:cs="Arial" w:eastAsia="SimSun" w:hAnsi="Times New Roman"/>
          <w:b w:val="false"/>
          <w:bCs w:val="false"/>
          <w:i w:val="false"/>
          <w:iCs w:val="false"/>
          <w:color w:val="000000"/>
          <w:sz w:val="24"/>
          <w:szCs w:val="24"/>
        </w:rPr>
        <w:t xml:space="preserve">The B2B pilot target is two paying cohort partners by month 9; the metric that matters is cohort activation lift, which becomes the sales story.</w:t>
      </w:r>
    </w:p>
    <w:p>
      <w:pPr>
        <w:pStyle w:val="Heading2"/>
        <w:spacing w:after="120" w:before="280" w:line="312"/>
      </w:pPr>
      <w:bookmarkStart w:name="_Toc34" w:id="34"/>
      <w:r>
        <w:rPr>
          <w:rFonts w:ascii="Times New Roman" w:cs="Arial" w:eastAsia="SimHei" w:hAnsi="Times New Roman"/>
          <w:b/>
          <w:bCs/>
          <w:color w:val="1A2330"/>
          <w:sz w:val="28"/>
          <w:szCs w:val="28"/>
        </w:rPr>
        <w:t xml:space="preserve">6.5 Ethical Monetization Principles</w:t>
      </w:r>
      <w:bookmarkEnd w:id="34"/>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Never paywall the library, </w:t>
      </w:r>
      <w:r>
        <w:rPr>
          <w:rFonts w:ascii="Times New Roman" w:cs="Arial" w:eastAsia="SimSun" w:hAnsi="Times New Roman"/>
          <w:b w:val="false"/>
          <w:bCs w:val="false"/>
          <w:i w:val="false"/>
          <w:iCs w:val="false"/>
          <w:color w:val="000000"/>
          <w:sz w:val="24"/>
          <w:szCs w:val="24"/>
        </w:rPr>
        <w:t xml:space="preserve">per the Section 6.1 covenant — the plan's most important sentence.</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No dark patterns: </w:t>
      </w:r>
      <w:r>
        <w:rPr>
          <w:rFonts w:ascii="Times New Roman" w:cs="Arial" w:eastAsia="SimSun" w:hAnsi="Times New Roman"/>
          <w:b w:val="false"/>
          <w:bCs w:val="false"/>
          <w:i w:val="false"/>
          <w:iCs w:val="false"/>
          <w:color w:val="000000"/>
          <w:sz w:val="24"/>
          <w:szCs w:val="24"/>
        </w:rPr>
        <w:t xml:space="preserve">cancel in two clicks, no fake scarcity, no shame copy, no pre-checked annual upsell.</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Hardship pricing exists quietly: </w:t>
      </w:r>
      <w:r>
        <w:rPr>
          <w:rFonts w:ascii="Times New Roman" w:cs="Arial" w:eastAsia="SimSun" w:hAnsi="Times New Roman"/>
          <w:b w:val="false"/>
          <w:bCs w:val="false"/>
          <w:i w:val="false"/>
          <w:iCs w:val="false"/>
          <w:color w:val="000000"/>
          <w:sz w:val="24"/>
          <w:szCs w:val="24"/>
        </w:rPr>
        <w:t xml:space="preserve">students and anyone who emails get a no-interrogation discount; the sponsored-seat pool covers those who cannot pay.</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Data is never the product: </w:t>
      </w:r>
      <w:r>
        <w:rPr>
          <w:rFonts w:ascii="Times New Roman" w:cs="Arial" w:eastAsia="SimSun" w:hAnsi="Times New Roman"/>
          <w:b w:val="false"/>
          <w:bCs w:val="false"/>
          <w:i w:val="false"/>
          <w:iCs w:val="false"/>
          <w:color w:val="000000"/>
          <w:sz w:val="24"/>
          <w:szCs w:val="24"/>
        </w:rPr>
        <w:t xml:space="preserve">no data sale, no ads retargeting users, telemetry aggregate-only (Section 3.2).</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Public roadmap and honest changelogs </w:t>
      </w:r>
      <w:r>
        <w:rPr>
          <w:rFonts w:ascii="Times New Roman" w:cs="Arial" w:eastAsia="SimSun" w:hAnsi="Times New Roman"/>
          <w:b w:val="false"/>
          <w:bCs w:val="false"/>
          <w:i w:val="false"/>
          <w:iCs w:val="false"/>
          <w:color w:val="000000"/>
          <w:sz w:val="24"/>
          <w:szCs w:val="24"/>
        </w:rPr>
        <w:t xml:space="preserve">so supporters can see what their money builds — in a market burned by course scams, transparency itself converts.</w:t>
      </w:r>
    </w:p>
    <w:p>
      <w:pPr>
        <w:pStyle w:val="Heading2"/>
        <w:spacing w:after="120" w:before="280" w:line="312"/>
      </w:pPr>
      <w:bookmarkStart w:name="_Toc35" w:id="35"/>
      <w:r>
        <w:rPr>
          <w:rFonts w:ascii="Times New Roman" w:cs="Arial" w:eastAsia="SimHei" w:hAnsi="Times New Roman"/>
          <w:b/>
          <w:bCs/>
          <w:color w:val="1A2330"/>
          <w:sz w:val="28"/>
          <w:szCs w:val="28"/>
        </w:rPr>
        <w:t xml:space="preserve">6.6 Early Experiments Versus Later Scaling</w:t>
      </w:r>
      <w:bookmarkEnd w:id="35"/>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Monetization ships in four deliberate steps, each validating the next. </w:t>
      </w:r>
      <w:r>
        <w:rPr>
          <w:rFonts w:ascii="Times New Roman" w:cs="Arial" w:eastAsia="SimSun" w:hAnsi="Times New Roman"/>
          <w:b w:val="false"/>
          <w:bCs w:val="false"/>
          <w:i w:val="false"/>
          <w:iCs w:val="false"/>
          <w:color w:val="000000"/>
          <w:sz w:val="24"/>
          <w:szCs w:val="24"/>
        </w:rPr>
        <w:t xml:space="preserve">Month 1–2: Founder Lifetime pilot sold manually to the Telegram seed community (tests price and messaging with zero payment-infrastructure cost — invoiced or via early regional rails). </w:t>
      </w:r>
      <w:r>
        <w:rPr>
          <w:rFonts w:ascii="Times New Roman" w:cs="Arial" w:eastAsia="SimSun" w:hAnsi="Times New Roman"/>
          <w:b w:val="false"/>
          <w:bCs w:val="false"/>
          <w:i w:val="false"/>
          <w:iCs w:val="false"/>
          <w:color w:val="000000"/>
          <w:sz w:val="24"/>
          <w:szCs w:val="24"/>
        </w:rPr>
        <w:t xml:space="preserve">Month 3: self-serve Pro with the annual plan as default and Regional Pro through the first local gateway integration. </w:t>
      </w:r>
      <w:r>
        <w:rPr>
          <w:rFonts w:ascii="Times New Roman" w:cs="Arial" w:eastAsia="SimSun" w:hAnsi="Times New Roman"/>
          <w:b w:val="false"/>
          <w:bCs w:val="false"/>
          <w:i w:val="false"/>
          <w:iCs w:val="false"/>
          <w:color w:val="000000"/>
          <w:sz w:val="24"/>
          <w:szCs w:val="24"/>
        </w:rPr>
        <w:t xml:space="preserve">Month 6: B2B pilot with two bootcamps; AI mock interviews enter Pro as the flagship paid capability with hard quotas. </w:t>
      </w:r>
      <w:r>
        <w:rPr>
          <w:rFonts w:ascii="Times New Roman" w:cs="Arial" w:eastAsia="SimSun" w:hAnsi="Times New Roman"/>
          <w:b w:val="false"/>
          <w:bCs w:val="false"/>
          <w:i w:val="false"/>
          <w:iCs w:val="false"/>
          <w:color w:val="000000"/>
          <w:sz w:val="24"/>
          <w:szCs w:val="24"/>
        </w:rPr>
        <w:t xml:space="preserve">Month 12: price review against measured conversion and competitor moves; consider monthly-regional parity and a team tier. </w:t>
      </w:r>
      <w:r>
        <w:rPr>
          <w:rFonts w:ascii="Times New Roman" w:cs="Arial" w:eastAsia="SimSun" w:hAnsi="Times New Roman"/>
          <w:b w:val="false"/>
          <w:bCs w:val="false"/>
          <w:i w:val="false"/>
          <w:iCs w:val="false"/>
          <w:color w:val="000000"/>
          <w:sz w:val="24"/>
          <w:szCs w:val="24"/>
        </w:rPr>
        <w:t xml:space="preserve">Every step has a kill criterion: if lifetime conversion underperforms, tiers simplify rather than multiply; if regional rails fail compliance review, the sponsored-seat pool absorbs demand instead.</w:t>
      </w:r>
    </w:p>
    <w:p>
      <w:pPr>
        <w:pStyle w:val="Heading1"/>
        <w:spacing w:after="180" w:before="400" w:line="312"/>
      </w:pPr>
      <w:bookmarkStart w:name="_Toc36" w:id="36"/>
      <w:r>
        <w:rPr>
          <w:rFonts w:ascii="Times New Roman" w:cs="Arial" w:eastAsia="SimHei" w:hAnsi="Times New Roman"/>
          <w:b/>
          <w:bCs/>
          <w:color w:val="1A2330"/>
          <w:sz w:val="32"/>
          <w:szCs w:val="32"/>
        </w:rPr>
        <w:t xml:space="preserve">7. 12-Month Technical &amp; Product Roadmap</w:t>
      </w:r>
      <w:bookmarkEnd w:id="36"/>
    </w:p>
    <w:p>
      <w:pPr>
        <w:pStyle w:val="Heading2"/>
        <w:spacing w:after="120" w:before="280" w:line="312"/>
      </w:pPr>
      <w:bookmarkStart w:name="_Toc37" w:id="37"/>
      <w:r>
        <w:rPr>
          <w:rFonts w:ascii="Times New Roman" w:cs="Arial" w:eastAsia="SimHei" w:hAnsi="Times New Roman"/>
          <w:b/>
          <w:bCs/>
          <w:color w:val="1A2330"/>
          <w:sz w:val="28"/>
          <w:szCs w:val="28"/>
        </w:rPr>
        <w:t xml:space="preserve">7.1 Phased Roadmap</w:t>
      </w:r>
      <w:bookmarkEnd w:id="37"/>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roadmap assumes the small team of Section 7.4 and one organizing principle: each phase must produce either a measured learning or a shippable asset — ideally both. </w:t>
      </w:r>
      <w:r>
        <w:rPr>
          <w:rFonts w:ascii="Times New Roman" w:cs="Arial" w:eastAsia="SimSun" w:hAnsi="Times New Roman"/>
          <w:b w:val="false"/>
          <w:bCs w:val="false"/>
          <w:i w:val="false"/>
          <w:iCs w:val="false"/>
          <w:color w:val="000000"/>
          <w:sz w:val="24"/>
          <w:szCs w:val="24"/>
        </w:rPr>
        <w:t xml:space="preserve">Dates are relative to the plan's approval (October 2026), so “month 3” means January 2027.</w:t>
      </w:r>
    </w:p>
    <w:p>
      <w:pPr>
        <w:keepNext/>
        <w:spacing w:after="100" w:before="200" w:line="312"/>
        <w:jc w:val="left"/>
      </w:pPr>
      <w:r>
        <w:rPr>
          <w:rFonts w:ascii="Times New Roman" w:cs="Arial" w:eastAsia="SimSun" w:hAnsi="Times New Roman"/>
          <w:b/>
          <w:bCs/>
          <w:color w:val="1A2330"/>
          <w:sz w:val="21"/>
          <w:szCs w:val="21"/>
        </w:rPr>
        <w:t xml:space="preserve">Table 14.  </w:t>
      </w:r>
      <w:r>
        <w:rPr>
          <w:rFonts w:ascii="Times New Roman" w:cs="Arial" w:eastAsia="SimSun" w:hAnsi="Times New Roman"/>
          <w:color w:val="5A6572"/>
          <w:sz w:val="21"/>
          <w:szCs w:val="21"/>
        </w:rPr>
        <w:t xml:space="preserve">12-month phased roadmap by workstream. Q1 = months 1–3, Q2 = months 3–6, H2 = months 6–12.</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967"/>
        <w:gridCol w:w="2373"/>
        <w:gridCol w:w="1845"/>
        <w:gridCol w:w="1670"/>
        <w:gridCol w:w="1933"/>
      </w:tblGrid>
      <w:tr>
        <w:trPr>
          <w:cantSplit/>
          <w:tblHeader/>
        </w:trPr>
        <w:tc>
          <w:tcPr>
            <w:tcW w:type="pct" w:w="5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Phase</w:t>
            </w:r>
          </w:p>
        </w:tc>
        <w:tc>
          <w:tcPr>
            <w:tcW w:type="pct" w:w="13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Product &amp; engineering</w:t>
            </w:r>
          </w:p>
        </w:tc>
        <w:tc>
          <w:tcPr>
            <w:tcW w:type="pct" w:w="10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Content</w:t>
            </w:r>
          </w:p>
        </w:tc>
        <w:tc>
          <w:tcPr>
            <w:tcW w:type="pct" w:w="9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Growth</w:t>
            </w:r>
          </w:p>
        </w:tc>
        <w:tc>
          <w:tcPr>
            <w:tcW w:type="pct" w:w="11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Monetization</w:t>
            </w:r>
          </w:p>
        </w:tc>
      </w:tr>
      <w:tr>
        <w:trPr>
          <w:cantSplit/>
        </w:trPr>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Now (0–4 wks)</w:t>
            </w:r>
          </w:p>
        </w:tc>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Privacy-friendly analytics; Next Best Action card; onboarding quiz; broken-link reporting; PWA install + offline shell; shareable progress card</w:t>
            </w:r>
          </w:p>
        </w:tc>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Start question bank v1 (20 questions); 10 digest cards/week cadence begins</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Seed Telegram channel; founder build-in-public starts; 3 Persian SEO landing pages</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w:t>
            </w:r>
          </w:p>
        </w:tc>
      </w:tr>
      <w:tr>
        <w:trPr>
          <w:cantSplit/>
        </w:trPr>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Months 1–3</w:t>
            </w:r>
          </w:p>
        </w:tc>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Accounts + cloud sync (merge engine); readiness score v1; review-due reminders (opt-in); hreflang + FAQ schema</w:t>
            </w:r>
          </w:p>
        </w:tc>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Question bank reaches 60; company guides 1–5; terminology glossary finalized</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Launch moment (PH + Telegram); partner-channel collaborations; weekly cadence locked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Founder Lifetime pilot (manual)</w:t>
            </w:r>
          </w:p>
        </w:tc>
      </w:tr>
      <w:tr>
        <w:trPr>
          <w:cantSplit/>
        </w:trPr>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Months 3–6</w:t>
            </w:r>
          </w:p>
        </w:tc>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Build-time AI hints shipped for the bank; checkpoint quizzes; notes-to-flashcards; public profile pages (opt-in)</w:t>
            </w:r>
          </w:p>
        </w:tc>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Question bank 100 complete; Persian system-design primer (8 parts); company guides 6–10</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Challenge-a-friend; contributor credits live; referral loop on; first co-branded prep week</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Self-serve Pro ($9/$69) + Regional Pro via local gateway</w:t>
            </w:r>
          </w:p>
        </w:tc>
      </w:tr>
      <w:tr>
        <w:trPr>
          <w:cantSplit/>
        </w:trPr>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bCs/>
                <w:color w:val="000000"/>
                <w:sz w:val="20"/>
                <w:szCs w:val="20"/>
              </w:rPr>
              <w:t xml:space="preserve">Months 6–12</w:t>
            </w:r>
          </w:p>
        </w:tc>
        <w:tc>
          <w:tcPr>
            <w:tcW w:type="pct" w:w="13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AI mock interviews (quota-based); readiness analytics deep-dive; adaptive rules v1; regional payment rails hardened</w:t>
            </w:r>
          </w:p>
        </w:tc>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Exercises 30; salary/negotiation + relocation guides; digest cards cover top 100; second question-bank tranche (100+)</w:t>
            </w:r>
          </w:p>
        </w:tc>
        <w:tc>
          <w:tcPr>
            <w:tcW w:type="pct" w:w="9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YouTube mock-interview series; annual data report; K-factor optimization</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B2B pilot with 2 bootcamps; founder-lifetime retro; price review</w:t>
            </w:r>
          </w:p>
        </w:tc>
      </w:tr>
    </w:tbl>
    <w:p>
      <w:pPr>
        <w:pStyle w:val="Heading2"/>
        <w:spacing w:after="120" w:before="280" w:line="312"/>
      </w:pPr>
      <w:bookmarkStart w:name="_Toc38" w:id="38"/>
      <w:r>
        <w:rPr>
          <w:rFonts w:ascii="Times New Roman" w:cs="Arial" w:eastAsia="SimHei" w:hAnsi="Times New Roman"/>
          <w:b/>
          <w:bCs/>
          <w:color w:val="1A2330"/>
          <w:sz w:val="28"/>
          <w:szCs w:val="28"/>
        </w:rPr>
        <w:t xml:space="preserve">7.2 Metrics and Success Criteria per Phase</w:t>
      </w:r>
      <w:bookmarkEnd w:id="38"/>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Each phase has explicit go/no-go criteria; a phase that misses its metric triggers a diagnosis before the next phase's scope is approved, which is how a small team avoids building on sand. </w:t>
      </w:r>
      <w:r>
        <w:rPr>
          <w:rFonts w:ascii="Times New Roman" w:cs="Arial" w:eastAsia="SimSun" w:hAnsi="Times New Roman"/>
          <w:b w:val="false"/>
          <w:bCs w:val="false"/>
          <w:i w:val="false"/>
          <w:iCs w:val="false"/>
          <w:color w:val="000000"/>
          <w:sz w:val="24"/>
          <w:szCs w:val="24"/>
        </w:rPr>
        <w:t xml:space="preserve">Figure 2 shows the retention trajectory the plan commits to; all numbers are targets pending the month-1 analytics baseline, stated so the team can be held to them.</w:t>
      </w:r>
    </w:p>
    <w:p>
      <w:pPr>
        <w:keepNext/>
        <w:spacing w:after="80" w:before="160" w:line="312"/>
        <w:jc w:val="center"/>
      </w:pPr>
      <w:r>
        <w:drawing>
          <wp:inline distT="0" distB="0" distL="0" distR="0">
            <wp:extent cx="5334000" cy="27908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90825"/>
                    </a:xfrm>
                    <a:prstGeom prst="rect">
                      <a:avLst/>
                    </a:prstGeom>
                  </pic:spPr>
                </pic:pic>
              </a:graphicData>
            </a:graphic>
          </wp:inline>
        </w:drawing>
      </w:r>
    </w:p>
    <w:p>
      <w:pPr>
        <w:spacing w:after="220" w:line="312"/>
        <w:jc w:val="center"/>
      </w:pPr>
      <w:r>
        <w:rPr>
          <w:rFonts w:ascii="Times New Roman" w:cs="Arial" w:eastAsia="SimSun" w:hAnsi="Times New Roman"/>
          <w:b/>
          <w:bCs/>
          <w:color w:val="1A2330"/>
          <w:sz w:val="18"/>
          <w:szCs w:val="18"/>
        </w:rPr>
        <w:t xml:space="preserve">Figure 2.  </w:t>
      </w:r>
      <w:r>
        <w:rPr>
          <w:rFonts w:ascii="Times New Roman" w:cs="Arial" w:eastAsia="SimSun" w:hAnsi="Times New Roman"/>
          <w:color w:val="5A6572"/>
          <w:sz w:val="18"/>
          <w:szCs w:val="18"/>
        </w:rPr>
        <w:t xml:space="preserve">Twelve-month retention targets versus a typical unpersonalized content-tool baseline. Both curves are illustrative; the baseline is re-measured after analytics ship in month 1.</w:t>
      </w:r>
    </w:p>
    <w:p>
      <w:pPr>
        <w:keepNext/>
        <w:spacing w:after="100" w:before="200" w:line="312"/>
        <w:jc w:val="left"/>
      </w:pPr>
      <w:r>
        <w:rPr>
          <w:rFonts w:ascii="Times New Roman" w:cs="Arial" w:eastAsia="SimSun" w:hAnsi="Times New Roman"/>
          <w:b/>
          <w:bCs/>
          <w:color w:val="1A2330"/>
          <w:sz w:val="21"/>
          <w:szCs w:val="21"/>
        </w:rPr>
        <w:t xml:space="preserve">Table 15.  </w:t>
      </w:r>
      <w:r>
        <w:rPr>
          <w:rFonts w:ascii="Times New Roman" w:cs="Arial" w:eastAsia="SimSun" w:hAnsi="Times New Roman"/>
          <w:color w:val="5A6572"/>
          <w:sz w:val="21"/>
          <w:szCs w:val="21"/>
        </w:rPr>
        <w:t xml:space="preserve">Phase gates and success criteria. All baselines are established by the month-1 analytics release.</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230"/>
        <w:gridCol w:w="4042"/>
        <w:gridCol w:w="3515"/>
      </w:tblGrid>
      <w:tr>
        <w:trPr>
          <w:cantSplit/>
          <w:tblHeader/>
        </w:trPr>
        <w:tc>
          <w:tcPr>
            <w:tcW w:type="pct" w:w="7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Phase</w:t>
            </w:r>
          </w:p>
        </w:tc>
        <w:tc>
          <w:tcPr>
            <w:tcW w:type="pct" w:w="23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Success criteria (go)</w:t>
            </w:r>
          </w:p>
        </w:tc>
        <w:tc>
          <w:tcPr>
            <w:tcW w:type="pct" w:w="20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Kill / re-scope signals</w:t>
            </w:r>
          </w:p>
        </w:tc>
      </w:tr>
      <w:tr>
        <w:trPr>
          <w:cantSplit/>
        </w:trPr>
        <w:tc>
          <w:tcPr>
            <w:tcW w:type="pct" w:w="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Now (0–4 wks)</w:t>
            </w:r>
          </w:p>
        </w:tc>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Analytics events flowing; activation measurable; NBA card used by 30%+ of new sessions</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Event schema contested or incomplete — delay everything rather than measure garbage</w:t>
            </w:r>
          </w:p>
        </w:tc>
      </w:tr>
      <w:tr>
        <w:trPr>
          <w:cantSplit/>
        </w:trPr>
        <w:tc>
          <w:tcPr>
            <w:tcW w:type="pct" w:w="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Months 1–3</w:t>
            </w:r>
          </w:p>
        </w:tc>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10%+ of new users create accounts; D7 ≥ 12%; launch drives 1,000+ activated sessions</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Account creation under 4% → redesign prompts before adding paid features</w:t>
            </w:r>
          </w:p>
        </w:tc>
      </w:tr>
      <w:tr>
        <w:trPr>
          <w:cantSplit/>
        </w:trPr>
        <w:tc>
          <w:tcPr>
            <w:tcW w:type="pct" w:w="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Months 3–6</w:t>
            </w:r>
          </w:p>
        </w:tc>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D7 ≥ 15%; 2%+ of accounts on Pro; question-bank completion ≥ 35%</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Pro under 1% → revisit Pro value split before B2B</w:t>
            </w:r>
          </w:p>
        </w:tc>
      </w:tr>
      <w:tr>
        <w:trPr>
          <w:cantSplit/>
        </w:trPr>
        <w:tc>
          <w:tcPr>
            <w:tcW w:type="pct" w:w="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Months 6–12</w:t>
            </w:r>
          </w:p>
        </w:tc>
        <w:tc>
          <w:tcPr>
            <w:tcW w:type="pct" w:w="23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D30 ≥ 10%; K-factor ≥ 0.15; 2 B2B partners; conversion 2–4%</w:t>
            </w:r>
          </w:p>
        </w:tc>
        <w:tc>
          <w:tcPr>
            <w:tcW w:type="pct" w:w="20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Mock-interview unit cost exceeds quota revenue → shrink quotas, reroute to build-time AI</w:t>
            </w:r>
          </w:p>
        </w:tc>
      </w:tr>
    </w:tbl>
    <w:p>
      <w:pPr>
        <w:pStyle w:val="Heading2"/>
        <w:spacing w:after="120" w:before="280" w:line="312"/>
      </w:pPr>
      <w:bookmarkStart w:name="_Toc39" w:id="39"/>
      <w:r>
        <w:rPr>
          <w:rFonts w:ascii="Times New Roman" w:cs="Arial" w:eastAsia="SimHei" w:hAnsi="Times New Roman"/>
          <w:b/>
          <w:bCs/>
          <w:color w:val="1A2330"/>
          <w:sz w:val="28"/>
          <w:szCs w:val="28"/>
        </w:rPr>
        <w:t xml:space="preserve">7.3 Risks and Mitigations</w:t>
      </w:r>
      <w:bookmarkEnd w:id="39"/>
    </w:p>
    <w:p>
      <w:pPr>
        <w:keepNext/>
        <w:spacing w:after="100" w:before="200" w:line="312"/>
        <w:jc w:val="left"/>
      </w:pPr>
      <w:r>
        <w:rPr>
          <w:rFonts w:ascii="Times New Roman" w:cs="Arial" w:eastAsia="SimSun" w:hAnsi="Times New Roman"/>
          <w:b/>
          <w:bCs/>
          <w:color w:val="1A2330"/>
          <w:sz w:val="21"/>
          <w:szCs w:val="21"/>
        </w:rPr>
        <w:t xml:space="preserve">Table 16.  </w:t>
      </w:r>
      <w:r>
        <w:rPr>
          <w:rFonts w:ascii="Times New Roman" w:cs="Arial" w:eastAsia="SimSun" w:hAnsi="Times New Roman"/>
          <w:color w:val="5A6572"/>
          <w:sz w:val="21"/>
          <w:szCs w:val="21"/>
        </w:rPr>
        <w:t xml:space="preserve">Risk register with mitigation owners implied by workstream.</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2636"/>
        <w:gridCol w:w="1318"/>
        <w:gridCol w:w="967"/>
        <w:gridCol w:w="3867"/>
      </w:tblGrid>
      <w:tr>
        <w:trPr>
          <w:cantSplit/>
          <w:tblHeader/>
        </w:trPr>
        <w:tc>
          <w:tcPr>
            <w:tcW w:type="pct" w:w="1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Risk</w:t>
            </w:r>
          </w:p>
        </w:tc>
        <w:tc>
          <w:tcPr>
            <w:tcW w:type="pct" w:w="7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Likelihood</w:t>
            </w:r>
          </w:p>
        </w:tc>
        <w:tc>
          <w:tcPr>
            <w:tcW w:type="pct" w:w="5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Impact</w:t>
            </w:r>
          </w:p>
        </w:tc>
        <w:tc>
          <w:tcPr>
            <w:tcW w:type="pct" w:w="22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Mitigation</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Link rot degrades catalog trust</w:t>
            </w:r>
          </w:p>
        </w:tc>
        <w:tc>
          <w:tcPr>
            <w:tcW w:type="pct" w:w="7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Monthly audit job, Wayback fallbacks, digest cards, one-click reporting (4.1)</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Iran payment friction caps conversion</w:t>
            </w:r>
          </w:p>
        </w:tc>
        <w:tc>
          <w:tcPr>
            <w:tcW w:type="pct" w:w="7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Regional licensed gateway, gift codes, sponsored seats; free covenant keeps core unaffected (6.3)</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Runtime AI cost overrun</w:t>
            </w:r>
          </w:p>
        </w:tc>
        <w:tc>
          <w:tcPr>
            <w:tcW w:type="pct" w:w="7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Build-time-first architecture; hard quotas; small-model routing; kill criteria in 7.2</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Solo-founder bus factor</w:t>
            </w:r>
          </w:p>
        </w:tc>
        <w:tc>
          <w:tcPr>
            <w:tcW w:type="pct" w:w="7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Documented playbooks, open catalog-change log, part-time backups per workstream, public roadmap</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 market ceiling limits scale</w:t>
            </w:r>
          </w:p>
        </w:tc>
        <w:tc>
          <w:tcPr>
            <w:tcW w:type="pct" w:w="7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Dual-market bilingual strategy; English cluster investment from Q2; B2B widens buyers</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Competitor copies features</w:t>
            </w:r>
          </w:p>
        </w:tc>
        <w:tc>
          <w:tcPr>
            <w:tcW w:type="pct" w:w="7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Low</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Moat is corpus + community + bilingual craft (Section 9), not any single feature</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iOS PWA limits mute the habit loop</w:t>
            </w:r>
          </w:p>
        </w:tc>
        <w:tc>
          <w:tcPr>
            <w:tcW w:type="pct" w:w="7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Android/desktop first-class; Telegram bot reminders as the iOS stopgap</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Community moderation incidents</w:t>
            </w:r>
          </w:p>
        </w:tc>
        <w:tc>
          <w:tcPr>
            <w:tcW w:type="pct" w:w="7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Low</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Medium</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Defer open comments; structured reviews only; auditable contributor identities (3.7)</w:t>
            </w:r>
          </w:p>
        </w:tc>
      </w:tr>
    </w:tbl>
    <w:p>
      <w:pPr>
        <w:pStyle w:val="Heading2"/>
        <w:spacing w:after="120" w:before="280" w:line="312"/>
      </w:pPr>
      <w:bookmarkStart w:name="_Toc40" w:id="40"/>
      <w:r>
        <w:rPr>
          <w:rFonts w:ascii="Times New Roman" w:cs="Arial" w:eastAsia="SimHei" w:hAnsi="Times New Roman"/>
          <w:b/>
          <w:bCs/>
          <w:color w:val="1A2330"/>
          <w:sz w:val="28"/>
          <w:szCs w:val="28"/>
        </w:rPr>
        <w:t xml:space="preserve">7.4 Team and Resource Assumptions</w:t>
      </w:r>
      <w:bookmarkEnd w:id="40"/>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 plan is sized for: one founding full-stack engineer (full-time), one part-time engineer (20 hrs/week), one native Persian content lead (20 hrs/week, from month 2), and the founder wearing product and growth hats. </w:t>
      </w:r>
      <w:r>
        <w:rPr>
          <w:rFonts w:ascii="Times New Roman" w:cs="Arial" w:eastAsia="SimSun" w:hAnsi="Times New Roman"/>
          <w:b w:val="false"/>
          <w:bCs w:val="false"/>
          <w:i w:val="false"/>
          <w:iCs w:val="false"/>
          <w:color w:val="000000"/>
          <w:sz w:val="24"/>
          <w:szCs w:val="24"/>
        </w:rPr>
        <w:t xml:space="preserve">Fixed costs stay under a few hundred dollars per month at this stage — hosting, domain, e-mail, AI build-time generation batches — with the first material costs being the content lead's time and regional payment integration. </w:t>
      </w:r>
      <w:r>
        <w:rPr>
          <w:rFonts w:ascii="Times New Roman" w:cs="Arial" w:eastAsia="SimSun" w:hAnsi="Times New Roman"/>
          <w:b w:val="false"/>
          <w:bCs w:val="false"/>
          <w:i w:val="false"/>
          <w:iCs w:val="false"/>
          <w:color w:val="000000"/>
          <w:sz w:val="24"/>
          <w:szCs w:val="24"/>
        </w:rPr>
        <w:t xml:space="preserve">Deliberately not hired in year one: a mobile engineer (PWA covers it), a data scientist (rules beat models at this data volume), a designer (the existing design system is a moat to preserve, not escape), and any sales role (founder-led partnerships until B2B proves out). </w:t>
      </w:r>
      <w:r>
        <w:rPr>
          <w:rFonts w:ascii="Times New Roman" w:cs="Arial" w:eastAsia="SimSun" w:hAnsi="Times New Roman"/>
          <w:b w:val="false"/>
          <w:bCs w:val="false"/>
          <w:i w:val="false"/>
          <w:iCs w:val="false"/>
          <w:color w:val="000000"/>
          <w:sz w:val="24"/>
          <w:szCs w:val="24"/>
        </w:rPr>
        <w:t xml:space="preserve">If the Founder Lifetime pilot overperforms, the first hire is a second content lead, because content depth is the bottleneck asset; engineering hires follow only when the roadmap's product phases slip, not before.</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Layout w:type="fixed"/>
      </w:tblPr>
      <w:tblGrid>
        <w:gridCol w:w="8788"/>
      </w:tblGrid>
      <w:tr>
        <w:trPr>
          <w:cantSplit/>
        </w:trPr>
        <w:tc>
          <w:tcPr>
            <w:tcW w:type="pct" w:w="5000"/>
            <w:shd w:fill="F8F0EB" w:val="clear"/>
            <w:tcMar>
              <w:top w:type="dxa" w:w="110"/>
              <w:left w:type="dxa" w:w="160"/>
              <w:bottom w:type="dxa" w:w="110"/>
              <w:right w:type="dxa" w:w="160"/>
            </w:tcMar>
          </w:tcPr>
          <w:p>
            <w:pPr>
              <w:spacing w:after="60" w:line="312"/>
            </w:pPr>
            <w:r>
              <w:rPr>
                <w:rFonts w:ascii="Times New Roman" w:cs="Arial" w:eastAsia="SimSun" w:hAnsi="Times New Roman"/>
                <w:b/>
                <w:bCs/>
                <w:color w:val="1A2330"/>
                <w:sz w:val="22"/>
                <w:szCs w:val="22"/>
              </w:rPr>
              <w:t xml:space="preserve">Operating rhythm</w:t>
            </w:r>
          </w:p>
          <w:p>
            <w:pPr>
              <w:spacing w:after="0" w:line="312"/>
            </w:pPr>
            <w:r>
              <w:rPr>
                <w:rFonts w:ascii="Times New Roman" w:cs="Arial" w:eastAsia="SimSun" w:hAnsi="Times New Roman"/>
                <w:b w:val="false"/>
                <w:bCs w:val="false"/>
                <w:i w:val="false"/>
                <w:iCs w:val="false"/>
                <w:color w:val="000000"/>
                <w:sz w:val="21"/>
                <w:szCs w:val="21"/>
              </w:rPr>
              <w:t xml:space="preserve">Weekly: ship log + metrics review (30 minutes, same agenda). Monthly: loop contribution analysis reallocates growth effort. Quarterly: catalog state note, risk register refresh, and a public roadmap update. Small teams do not fail from small budgets; they fail from undisciplined focus.</w:t>
            </w:r>
          </w:p>
        </w:tc>
      </w:tr>
    </w:tbl>
    <w:p>
      <w:pPr>
        <w:pStyle w:val="Heading1"/>
        <w:spacing w:after="180" w:before="400" w:line="312"/>
      </w:pPr>
      <w:bookmarkStart w:name="_Toc41" w:id="41"/>
      <w:r>
        <w:rPr>
          <w:rFonts w:ascii="Times New Roman" w:cs="Arial" w:eastAsia="SimHei" w:hAnsi="Times New Roman"/>
          <w:b/>
          <w:bCs/>
          <w:color w:val="1A2330"/>
          <w:sz w:val="32"/>
          <w:szCs w:val="32"/>
        </w:rPr>
        <w:t xml:space="preserve">8. Quick Wins (Can Ship in 2–4 Weeks)</w:t>
      </w:r>
      <w:bookmarkEnd w:id="41"/>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These eight items require minimal engineering, produce visible momentum, and — importantly — are prerequisites or feeders for the main roadmap rather than side quests. </w:t>
      </w:r>
      <w:r>
        <w:rPr>
          <w:rFonts w:ascii="Times New Roman" w:cs="Arial" w:eastAsia="SimSun" w:hAnsi="Times New Roman"/>
          <w:b w:val="false"/>
          <w:bCs w:val="false"/>
          <w:i w:val="false"/>
          <w:iCs w:val="false"/>
          <w:color w:val="000000"/>
          <w:sz w:val="24"/>
          <w:szCs w:val="24"/>
        </w:rPr>
        <w:t xml:space="preserve">They are ranked by expected impact per unit of effort; the top three alone typically move activation visibly because they fix the first session, which is where most products die. </w:t>
      </w:r>
      <w:r>
        <w:rPr>
          <w:rFonts w:ascii="Times New Roman" w:cs="Arial" w:eastAsia="SimSun" w:hAnsi="Times New Roman"/>
          <w:b w:val="false"/>
          <w:bCs w:val="false"/>
          <w:i w:val="false"/>
          <w:iCs w:val="false"/>
          <w:color w:val="000000"/>
          <w:sz w:val="24"/>
          <w:szCs w:val="24"/>
        </w:rPr>
        <w:t xml:space="preserve">Every item reuses existing local state, so nothing here waits on accounts.</w:t>
      </w:r>
    </w:p>
    <w:p>
      <w:pPr>
        <w:keepNext/>
        <w:spacing w:after="100" w:before="200" w:line="312"/>
        <w:jc w:val="left"/>
      </w:pPr>
      <w:r>
        <w:rPr>
          <w:rFonts w:ascii="Times New Roman" w:cs="Arial" w:eastAsia="SimSun" w:hAnsi="Times New Roman"/>
          <w:b/>
          <w:bCs/>
          <w:color w:val="1A2330"/>
          <w:sz w:val="21"/>
          <w:szCs w:val="21"/>
        </w:rPr>
        <w:t xml:space="preserve">Table 17.  </w:t>
      </w:r>
      <w:r>
        <w:rPr>
          <w:rFonts w:ascii="Times New Roman" w:cs="Arial" w:eastAsia="SimSun" w:hAnsi="Times New Roman"/>
          <w:color w:val="5A6572"/>
          <w:sz w:val="21"/>
          <w:szCs w:val="21"/>
        </w:rPr>
        <w:t xml:space="preserve">Quick-win pack, ranked. Effort is in developer-days for the founding engineer.</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439"/>
        <w:gridCol w:w="2549"/>
        <w:gridCol w:w="879"/>
        <w:gridCol w:w="1933"/>
        <w:gridCol w:w="2988"/>
      </w:tblGrid>
      <w:tr>
        <w:trPr>
          <w:cantSplit/>
          <w:tblHeader/>
        </w:trPr>
        <w:tc>
          <w:tcPr>
            <w:tcW w:type="pct" w:w="2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w:t>
            </w:r>
          </w:p>
        </w:tc>
        <w:tc>
          <w:tcPr>
            <w:tcW w:type="pct" w:w="14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Item</w:t>
            </w:r>
          </w:p>
        </w:tc>
        <w:tc>
          <w:tcPr>
            <w:tcW w:type="pct" w:w="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Effort</w:t>
            </w:r>
          </w:p>
        </w:tc>
        <w:tc>
          <w:tcPr>
            <w:tcW w:type="pct" w:w="11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Expected impact</w:t>
            </w:r>
          </w:p>
        </w:tc>
        <w:tc>
          <w:tcPr>
            <w:tcW w:type="pct" w:w="17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Notes and dependencies</w:t>
            </w:r>
          </w:p>
        </w:tc>
      </w:tr>
      <w:tr>
        <w:trPr>
          <w:cantSplit/>
        </w:trPr>
        <w:tc>
          <w:tcPr>
            <w:tcW w:type="pct" w:w="2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Privacy-friendly analytics (aggregate, opt-in)</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 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Foundation for everything</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Counts, funnels, referrers only; no session replay; ships first</w:t>
            </w:r>
          </w:p>
        </w:tc>
      </w:tr>
      <w:tr>
        <w:trPr>
          <w:cantSplit/>
        </w:trPr>
        <w:tc>
          <w:tcPr>
            <w:tcW w:type="pct" w:w="2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Next Best Action card on home</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 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 — daily habit cue</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Rules over local state: due reviews → challenge → next roadmap item</w:t>
            </w:r>
          </w:p>
        </w:tc>
      </w:tr>
      <w:tr>
        <w:trPr>
          <w:cantSplit/>
        </w:trPr>
        <w:tc>
          <w:tcPr>
            <w:tcW w:type="pct" w:w="2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Onboarding quiz (role, timeline, hours)</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 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 — personalizes instantly</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Seeds role path, Review Deck, and NBA card; Appendix A.1</w:t>
            </w:r>
          </w:p>
        </w:tc>
      </w:tr>
      <w:tr>
        <w:trPr>
          <w:cantSplit/>
        </w:trPr>
        <w:tc>
          <w:tcPr>
            <w:tcW w:type="pct" w:w="2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4</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Shareable progress card (bilingual image)</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 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High — top-of-funnel loop</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Canvas-rendered, RTL-aware; personalization of invite links waits for accounts</w:t>
            </w:r>
          </w:p>
        </w:tc>
      </w:tr>
      <w:tr>
        <w:trPr>
          <w:cantSplit/>
        </w:trPr>
        <w:tc>
          <w:tcPr>
            <w:tcW w:type="pct" w:w="2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5</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Broken-link one-click report + freshness badge</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 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Trust and maintenance signal</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Routes into existing Suggest-a-Resource queue</w:t>
            </w:r>
          </w:p>
        </w:tc>
      </w:tr>
      <w:tr>
        <w:trPr>
          <w:cantSplit/>
        </w:trPr>
        <w:tc>
          <w:tcPr>
            <w:tcW w:type="pct" w:w="2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Three Persian SEO landing pages</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 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Organic FA acquisition</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Pillar pages for the three Persian head-term clusters (5.2)</w:t>
            </w:r>
          </w:p>
        </w:tc>
      </w:tr>
      <w:tr>
        <w:trPr>
          <w:cantSplit/>
        </w:trPr>
        <w:tc>
          <w:tcPr>
            <w:tcW w:type="pct" w:w="2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7</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PWA manifest + install prompt + offline shell</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 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Habit-loop surface</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Second-session install prompt; iOS tested against known limits</w:t>
            </w:r>
          </w:p>
        </w:tc>
      </w:tr>
      <w:tr>
        <w:trPr>
          <w:cantSplit/>
        </w:trPr>
        <w:tc>
          <w:tcPr>
            <w:tcW w:type="pct" w:w="2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8</w:t>
            </w:r>
          </w:p>
        </w:tc>
        <w:tc>
          <w:tcPr>
            <w:tcW w:type="pct" w:w="14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Interview Readiness Score v0 (local)</w:t>
            </w:r>
          </w:p>
        </w:tc>
        <w:tc>
          <w:tcPr>
            <w:tcW w:type="pct" w:w="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 d</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Emotional progress anchor</w:t>
            </w:r>
          </w:p>
        </w:tc>
        <w:tc>
          <w:tcPr>
            <w:tcW w:type="pct" w:w="17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Local-only preview of Appendix B formula; feedback before accounts</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Sequencing note: items 1–3 form a single coherent release in week two, with 4–6 in week three and 7–8 in week four. </w:t>
      </w:r>
      <w:r>
        <w:rPr>
          <w:rFonts w:ascii="Times New Roman" w:cs="Arial" w:eastAsia="SimSun" w:hAnsi="Times New Roman"/>
          <w:b w:val="false"/>
          <w:bCs w:val="false"/>
          <w:i w:val="false"/>
          <w:iCs w:val="false"/>
          <w:color w:val="000000"/>
          <w:sz w:val="24"/>
          <w:szCs w:val="24"/>
        </w:rPr>
        <w:t xml:space="preserve">The pack is small by design; its purpose is to enter the launch window (Section 5.6) with measurement working, the first session improved, and one loop (sharing) already live — the minimum credible evidence for the bigger account bet that follows.</w:t>
      </w:r>
    </w:p>
    <w:p>
      <w:pPr>
        <w:pStyle w:val="Heading1"/>
        <w:spacing w:after="180" w:before="400" w:line="312"/>
      </w:pPr>
      <w:bookmarkStart w:name="_Toc42" w:id="42"/>
      <w:r>
        <w:rPr>
          <w:rFonts w:ascii="Times New Roman" w:cs="Arial" w:eastAsia="SimHei" w:hAnsi="Times New Roman"/>
          <w:b/>
          <w:bCs/>
          <w:color w:val="1A2330"/>
          <w:sz w:val="32"/>
          <w:szCs w:val="32"/>
        </w:rPr>
        <w:t xml:space="preserve">9. Long-Term Moat (2–3 Years)</w:t>
      </w:r>
      <w:bookmarkEnd w:id="42"/>
    </w:p>
    <w:p>
      <w:pPr>
        <w:pStyle w:val="Heading2"/>
        <w:spacing w:after="120" w:before="280" w:line="312"/>
      </w:pPr>
      <w:bookmarkStart w:name="_Toc43" w:id="43"/>
      <w:r>
        <w:rPr>
          <w:rFonts w:ascii="Times New Roman" w:cs="Arial" w:eastAsia="SimHei" w:hAnsi="Times New Roman"/>
          <w:b/>
          <w:bCs/>
          <w:color w:val="1A2330"/>
          <w:sz w:val="28"/>
          <w:szCs w:val="28"/>
        </w:rPr>
        <w:t xml:space="preserve">9.1 The Compounding Asset Stack</w:t>
      </w:r>
      <w:bookmarkEnd w:id="43"/>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DevReady's defensibility is a stack, not a feature. </w:t>
      </w:r>
      <w:r>
        <w:rPr>
          <w:rFonts w:ascii="Times New Roman" w:cs="Arial" w:eastAsia="SimSun" w:hAnsi="Times New Roman"/>
          <w:b w:val="false"/>
          <w:bCs w:val="false"/>
          <w:i w:val="false"/>
          <w:iCs w:val="false"/>
          <w:color w:val="000000"/>
          <w:sz w:val="24"/>
          <w:szCs w:val="24"/>
        </w:rPr>
        <w:t xml:space="preserve">Layer one is the content corpus: 636 curated entries plus a growing original bilingual question bank, digest cards, and Persian-first primers — thousands of hours of accumulated editorial judgment that cannot be scraped into existence. </w:t>
      </w:r>
      <w:r>
        <w:rPr>
          <w:rFonts w:ascii="Times New Roman" w:cs="Arial" w:eastAsia="SimSun" w:hAnsi="Times New Roman"/>
          <w:b w:val="false"/>
          <w:bCs w:val="false"/>
          <w:i w:val="false"/>
          <w:iCs w:val="false"/>
          <w:color w:val="000000"/>
          <w:sz w:val="24"/>
          <w:szCs w:val="24"/>
        </w:rPr>
        <w:t xml:space="preserve">Layer two is behavioral data: years of (opt-in, aggregate) learning signals — which resources actually precede completed roadmaps, which questions predict interview success — that make the readiness score and recommendations genuinely better over time. </w:t>
      </w:r>
      <w:r>
        <w:rPr>
          <w:rFonts w:ascii="Times New Roman" w:cs="Arial" w:eastAsia="SimSun" w:hAnsi="Times New Roman"/>
          <w:b w:val="false"/>
          <w:bCs w:val="false"/>
          <w:i w:val="false"/>
          <w:iCs w:val="false"/>
          <w:color w:val="000000"/>
          <w:sz w:val="24"/>
          <w:szCs w:val="24"/>
        </w:rPr>
        <w:t xml:space="preserve">Layer three is the community network: contributors with named credits, trusted reviewers, bootcamp relationships, and the Telegram gravitational center, all of which produce a flow of high-intent users no competitor can buy efficiently. </w:t>
      </w:r>
      <w:r>
        <w:rPr>
          <w:rFonts w:ascii="Times New Roman" w:cs="Arial" w:eastAsia="SimSun" w:hAnsi="Times New Roman"/>
          <w:b w:val="false"/>
          <w:bCs w:val="false"/>
          <w:i w:val="false"/>
          <w:iCs w:val="false"/>
          <w:color w:val="000000"/>
          <w:sz w:val="24"/>
          <w:szCs w:val="24"/>
        </w:rPr>
        <w:t xml:space="preserve">Layer four is the brand position: “the serious, honest, bilingual one” — an association earned by restraint and repeated keeping of small promises.</w:t>
      </w:r>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Two assets deserve special emphasis because they are structurally hard to copy. </w:t>
      </w:r>
      <w:r>
        <w:rPr>
          <w:rFonts w:ascii="Times New Roman" w:cs="Arial" w:eastAsia="SimSun" w:hAnsi="Times New Roman"/>
          <w:b w:val="false"/>
          <w:bCs w:val="false"/>
          <w:i w:val="false"/>
          <w:iCs w:val="false"/>
          <w:color w:val="000000"/>
          <w:sz w:val="24"/>
          <w:szCs w:val="24"/>
        </w:rPr>
        <w:t xml:space="preserve">The bilingual AI evaluation dataset (Phase C) — Persian technical answers scored against rubrics — becomes more valuable and more accurate every year a competitor waits to start. </w:t>
      </w:r>
      <w:r>
        <w:rPr>
          <w:rFonts w:ascii="Times New Roman" w:cs="Arial" w:eastAsia="SimSun" w:hAnsi="Times New Roman"/>
          <w:b w:val="false"/>
          <w:bCs w:val="false"/>
          <w:i w:val="false"/>
          <w:iCs w:val="false"/>
          <w:color w:val="000000"/>
          <w:sz w:val="24"/>
          <w:szCs w:val="24"/>
        </w:rPr>
        <w:t xml:space="preserve">And the local-first privacy identity, once publicly adopted by a privacy-conscious audience, cannot be imitated by account-first incumbents without undermining their own business models; DevReady's architecture is its position.</w:t>
      </w:r>
    </w:p>
    <w:p>
      <w:pPr>
        <w:pStyle w:val="Heading2"/>
        <w:spacing w:after="120" w:before="280" w:line="312"/>
      </w:pPr>
      <w:bookmarkStart w:name="_Toc44" w:id="44"/>
      <w:r>
        <w:rPr>
          <w:rFonts w:ascii="Times New Roman" w:cs="Arial" w:eastAsia="SimHei" w:hAnsi="Times New Roman"/>
          <w:b/>
          <w:bCs/>
          <w:color w:val="1A2330"/>
          <w:sz w:val="28"/>
          <w:szCs w:val="28"/>
        </w:rPr>
        <w:t xml:space="preserve">9.2 What a Well-Funded Copycat Would Need to Replicate</w:t>
      </w:r>
      <w:bookmarkEnd w:id="44"/>
    </w:p>
    <w:p>
      <w:pPr>
        <w:keepNext/>
        <w:spacing w:after="100" w:before="200" w:line="312"/>
        <w:jc w:val="left"/>
      </w:pPr>
      <w:r>
        <w:rPr>
          <w:rFonts w:ascii="Times New Roman" w:cs="Arial" w:eastAsia="SimSun" w:hAnsi="Times New Roman"/>
          <w:b/>
          <w:bCs/>
          <w:color w:val="1A2330"/>
          <w:sz w:val="21"/>
          <w:szCs w:val="21"/>
        </w:rPr>
        <w:t xml:space="preserve">Table 18.  </w:t>
      </w:r>
      <w:r>
        <w:rPr>
          <w:rFonts w:ascii="Times New Roman" w:cs="Arial" w:eastAsia="SimSun" w:hAnsi="Times New Roman"/>
          <w:color w:val="5A6572"/>
          <w:sz w:val="21"/>
          <w:szCs w:val="21"/>
        </w:rPr>
        <w:t xml:space="preserve">Replication difficulty from the perspective of a funded English-first competitor (24-month horizon).</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2636"/>
        <w:gridCol w:w="1933"/>
        <w:gridCol w:w="4218"/>
      </w:tblGrid>
      <w:tr>
        <w:trPr>
          <w:cantSplit/>
          <w:tblHeader/>
        </w:trPr>
        <w:tc>
          <w:tcPr>
            <w:tcW w:type="pct" w:w="1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Asset</w:t>
            </w:r>
          </w:p>
        </w:tc>
        <w:tc>
          <w:tcPr>
            <w:tcW w:type="pct" w:w="11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Replication cost</w:t>
            </w:r>
          </w:p>
        </w:tc>
        <w:tc>
          <w:tcPr>
            <w:tcW w:type="pct" w:w="24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Why it is hard</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636-resource curated catalog + rubric process</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Months of native editorial work</w:t>
            </w:r>
          </w:p>
        </w:tc>
        <w:tc>
          <w:tcPr>
            <w:tcW w:type="pct" w:w="2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Curation judgment is tacit knowledge; the rubric and reviewer network are the asset, not the list</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Native Persian content corpus (150+ items)</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Hire native engineer-writers; 12+ months</w:t>
            </w:r>
          </w:p>
        </w:tc>
        <w:tc>
          <w:tcPr>
            <w:tcW w:type="pct" w:w="2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Thin talent pool; quality bar set by DevReady's existing corpus</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Bilingual product craft (RTL, typography, terminology)</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Quarter of focused product work</w:t>
            </w:r>
          </w:p>
        </w:tc>
        <w:tc>
          <w:tcPr>
            <w:tcW w:type="pct" w:w="2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Easy to do badly; the audience notices instantly and defects</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Habit loop data (challenge patterns, review scheduling)</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 year of live users</w:t>
            </w:r>
          </w:p>
        </w:tc>
        <w:tc>
          <w:tcPr>
            <w:tcW w:type="pct" w:w="2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Requires the daily audience first — the chicken DevReady already has</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Persian community center of gravity (Telegram, contributors)</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18–24 months of presence</w:t>
            </w:r>
          </w:p>
        </w:tc>
        <w:tc>
          <w:tcPr>
            <w:tcW w:type="pct" w:w="2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Trust and credits are non-transferable; incumbents' English brands do not transfer</w:t>
            </w:r>
          </w:p>
        </w:tc>
      </w:tr>
      <w:tr>
        <w:trPr>
          <w:cantSplit/>
        </w:trPr>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Bilingual AI evaluation dataset</w:t>
            </w:r>
          </w:p>
        </w:tc>
        <w:tc>
          <w:tcPr>
            <w:tcW w:type="pct" w:w="11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Start from zero, or never</w:t>
            </w:r>
          </w:p>
        </w:tc>
        <w:tc>
          <w:tcPr>
            <w:tcW w:type="pct" w:w="24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Only live Persian-answering users generate it; compounding advantage</w:t>
            </w:r>
          </w:p>
        </w:tc>
      </w:tr>
    </w:tbl>
    <w:p>
      <w:pPr>
        <w:pStyle w:val="Heading2"/>
        <w:spacing w:after="120" w:before="280" w:line="312"/>
      </w:pPr>
      <w:bookmarkStart w:name="_Toc45" w:id="45"/>
      <w:r>
        <w:rPr>
          <w:rFonts w:ascii="Times New Roman" w:cs="Arial" w:eastAsia="SimHei" w:hAnsi="Times New Roman"/>
          <w:b/>
          <w:bCs/>
          <w:color w:val="1A2330"/>
          <w:sz w:val="28"/>
          <w:szCs w:val="28"/>
        </w:rPr>
        <w:t xml:space="preserve">9.3 Strategic Guardrails</w:t>
      </w:r>
      <w:bookmarkEnd w:id="45"/>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Guard the covenant. </w:t>
      </w:r>
      <w:r>
        <w:rPr>
          <w:rFonts w:ascii="Times New Roman" w:cs="Arial" w:eastAsia="SimSun" w:hAnsi="Times New Roman"/>
          <w:b w:val="false"/>
          <w:bCs w:val="false"/>
          <w:i w:val="false"/>
          <w:iCs w:val="false"/>
          <w:color w:val="000000"/>
          <w:sz w:val="24"/>
          <w:szCs w:val="24"/>
        </w:rPr>
        <w:t xml:space="preserve">The free library is the moat's foundation; any future team that paywalls it has already lost.</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Guard the tone. </w:t>
      </w:r>
      <w:r>
        <w:rPr>
          <w:rFonts w:ascii="Times New Roman" w:cs="Arial" w:eastAsia="SimSun" w:hAnsi="Times New Roman"/>
          <w:b w:val="false"/>
          <w:bCs w:val="false"/>
          <w:i w:val="false"/>
          <w:iCs w:val="false"/>
          <w:color w:val="000000"/>
          <w:sz w:val="24"/>
          <w:szCs w:val="24"/>
        </w:rPr>
        <w:t xml:space="preserve">Every growth mechanic must pass the “trusted senior friend” test; growth that damages trust is negative growth.</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Guard local-first. </w:t>
      </w:r>
      <w:r>
        <w:rPr>
          <w:rFonts w:ascii="Times New Roman" w:cs="Arial" w:eastAsia="SimSun" w:hAnsi="Times New Roman"/>
          <w:b w:val="false"/>
          <w:bCs w:val="false"/>
          <w:i w:val="false"/>
          <w:iCs w:val="false"/>
          <w:color w:val="000000"/>
          <w:sz w:val="24"/>
          <w:szCs w:val="24"/>
        </w:rPr>
        <w:t xml:space="preserve">Accounts extend the local experience; they never replace it. The anonymous mode must remain fully functional forever.</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Guard depth over breadth. </w:t>
      </w:r>
      <w:r>
        <w:rPr>
          <w:rFonts w:ascii="Times New Roman" w:cs="Arial" w:eastAsia="SimSun" w:hAnsi="Times New Roman"/>
          <w:b w:val="false"/>
          <w:bCs w:val="false"/>
          <w:i w:val="false"/>
          <w:iCs w:val="false"/>
          <w:color w:val="000000"/>
          <w:sz w:val="24"/>
          <w:szCs w:val="24"/>
        </w:rPr>
        <w:t xml:space="preserve">A smaller catalog that is alive and trusted beats a bigger one that is rotting; when in doubt, improve before expanding.</w:t>
      </w:r>
    </w:p>
    <w:p>
      <w:pPr>
        <w:pStyle w:val="ListParagraph"/>
        <w:numPr>
          <w:ilvl w:val="0"/>
          <w:numId w:val="1"/>
        </w:numPr>
        <w:spacing w:after="80" w:line="312"/>
        <w:jc w:val="left"/>
      </w:pPr>
      <w:r>
        <w:rPr>
          <w:rFonts w:ascii="Times New Roman" w:cs="Arial" w:eastAsia="SimSun" w:hAnsi="Times New Roman"/>
          <w:b/>
          <w:bCs/>
          <w:i w:val="false"/>
          <w:iCs w:val="false"/>
          <w:color w:val="000000"/>
          <w:sz w:val="24"/>
          <w:szCs w:val="24"/>
        </w:rPr>
        <w:t xml:space="preserve">Guard the bilingual craft. </w:t>
      </w:r>
      <w:r>
        <w:rPr>
          <w:rFonts w:ascii="Times New Roman" w:cs="Arial" w:eastAsia="SimSun" w:hAnsi="Times New Roman"/>
          <w:b w:val="false"/>
          <w:bCs w:val="false"/>
          <w:i w:val="false"/>
          <w:iCs w:val="false"/>
          <w:color w:val="000000"/>
          <w:sz w:val="24"/>
          <w:szCs w:val="24"/>
        </w:rPr>
        <w:t xml:space="preserve">No machine translation ships under the DevReady name, in content or in AI features.</w:t>
      </w:r>
    </w:p>
    <w:p>
      <w:pPr>
        <w:pStyle w:val="Heading1"/>
        <w:spacing w:after="180" w:before="400" w:line="312"/>
      </w:pPr>
      <w:bookmarkStart w:name="_Toc46" w:id="46"/>
      <w:r>
        <w:rPr>
          <w:rFonts w:ascii="Times New Roman" w:cs="Arial" w:eastAsia="SimHei" w:hAnsi="Times New Roman"/>
          <w:b/>
          <w:bCs/>
          <w:color w:val="1A2330"/>
          <w:sz w:val="32"/>
          <w:szCs w:val="32"/>
        </w:rPr>
        <w:t xml:space="preserve">10. Appendices: Flows, Feature Specs &amp; Metric Definitions</w:t>
      </w:r>
      <w:bookmarkEnd w:id="46"/>
    </w:p>
    <w:p>
      <w:pPr>
        <w:pStyle w:val="Heading2"/>
        <w:spacing w:after="120" w:before="280" w:line="312"/>
      </w:pPr>
      <w:bookmarkStart w:name="_Toc47" w:id="47"/>
      <w:r>
        <w:rPr>
          <w:rFonts w:ascii="Times New Roman" w:cs="Arial" w:eastAsia="SimHei" w:hAnsi="Times New Roman"/>
          <w:b/>
          <w:bCs/>
          <w:color w:val="1A2330"/>
          <w:sz w:val="28"/>
          <w:szCs w:val="28"/>
        </w:rPr>
        <w:t xml:space="preserve">Appendix A. Example User Flows</w:t>
      </w:r>
      <w:bookmarkEnd w:id="47"/>
    </w:p>
    <w:p>
      <w:pPr>
        <w:pStyle w:val="Heading3"/>
        <w:spacing w:after="100" w:before="220" w:line="312"/>
      </w:pPr>
      <w:bookmarkStart w:name="_Toc48" w:id="48"/>
      <w:r>
        <w:rPr>
          <w:rFonts w:ascii="Times New Roman" w:cs="Arial" w:eastAsia="SimHei" w:hAnsi="Times New Roman"/>
          <w:b/>
          <w:bCs/>
          <w:color w:val="1A2330"/>
          <w:sz w:val="24"/>
          <w:szCs w:val="24"/>
        </w:rPr>
        <w:t xml:space="preserve">A.1 First-session onboarding flow</w:t>
      </w:r>
      <w:bookmarkEnd w:id="48"/>
    </w:p>
    <w:p>
      <w:pPr>
        <w:pStyle w:val="ListParagraph"/>
        <w:numPr>
          <w:ilvl w:val="0"/>
          <w:numId w:val="2"/>
        </w:numPr>
        <w:spacing w:after="80" w:line="312"/>
        <w:jc w:val="left"/>
      </w:pPr>
      <w:r>
        <w:rPr>
          <w:rFonts w:ascii="Times New Roman" w:cs="Arial" w:eastAsia="SimSun" w:hAnsi="Times New Roman"/>
          <w:b w:val="false"/>
          <w:bCs w:val="false"/>
          <w:i w:val="false"/>
          <w:iCs w:val="false"/>
          <w:color w:val="000000"/>
          <w:sz w:val="24"/>
          <w:szCs w:val="24"/>
        </w:rPr>
        <w:t xml:space="preserve">Landing (FA or EN by browser locale) → single hero promise + one primary button: “Build my plan.”</w:t>
      </w:r>
    </w:p>
    <w:p>
      <w:pPr>
        <w:pStyle w:val="ListParagraph"/>
        <w:numPr>
          <w:ilvl w:val="0"/>
          <w:numId w:val="2"/>
        </w:numPr>
        <w:spacing w:after="80" w:line="312"/>
        <w:jc w:val="left"/>
      </w:pPr>
      <w:r>
        <w:rPr>
          <w:rFonts w:ascii="Times New Roman" w:cs="Arial" w:eastAsia="SimSun" w:hAnsi="Times New Roman"/>
          <w:b w:val="false"/>
          <w:bCs w:val="false"/>
          <w:i w:val="false"/>
          <w:iCs w:val="false"/>
          <w:color w:val="000000"/>
          <w:sz w:val="24"/>
          <w:szCs w:val="24"/>
        </w:rPr>
        <w:t xml:space="preserve">Three-question quiz: target role, interview window (weeks), self-rated weakest area; optional hours-per-week.</w:t>
      </w:r>
    </w:p>
    <w:p>
      <w:pPr>
        <w:pStyle w:val="ListParagraph"/>
        <w:numPr>
          <w:ilvl w:val="0"/>
          <w:numId w:val="2"/>
        </w:numPr>
        <w:spacing w:after="80" w:line="312"/>
        <w:jc w:val="left"/>
      </w:pPr>
      <w:r>
        <w:rPr>
          <w:rFonts w:ascii="Times New Roman" w:cs="Arial" w:eastAsia="SimSun" w:hAnsi="Times New Roman"/>
          <w:b w:val="false"/>
          <w:bCs w:val="false"/>
          <w:i w:val="false"/>
          <w:iCs w:val="false"/>
          <w:color w:val="000000"/>
          <w:sz w:val="24"/>
          <w:szCs w:val="24"/>
        </w:rPr>
        <w:t xml:space="preserve">Roadmap preview personalized: role path highlighted, stage 1 expanded, estimated weekly rhythm shown honestly.</w:t>
      </w:r>
    </w:p>
    <w:p>
      <w:pPr>
        <w:pStyle w:val="ListParagraph"/>
        <w:numPr>
          <w:ilvl w:val="0"/>
          <w:numId w:val="2"/>
        </w:numPr>
        <w:spacing w:after="80" w:line="312"/>
        <w:jc w:val="left"/>
      </w:pPr>
      <w:r>
        <w:rPr>
          <w:rFonts w:ascii="Times New Roman" w:cs="Arial" w:eastAsia="SimSun" w:hAnsi="Times New Roman"/>
          <w:b w:val="false"/>
          <w:bCs w:val="false"/>
          <w:i w:val="false"/>
          <w:iCs w:val="false"/>
          <w:color w:val="000000"/>
          <w:sz w:val="24"/>
          <w:szCs w:val="24"/>
        </w:rPr>
        <w:t xml:space="preserve">First action in-session: auto-suggested starting resource with a one-tap “Mark in progress.”</w:t>
      </w:r>
    </w:p>
    <w:p>
      <w:pPr>
        <w:pStyle w:val="ListParagraph"/>
        <w:numPr>
          <w:ilvl w:val="0"/>
          <w:numId w:val="2"/>
        </w:numPr>
        <w:spacing w:after="80" w:line="312"/>
        <w:jc w:val="left"/>
      </w:pPr>
      <w:r>
        <w:rPr>
          <w:rFonts w:ascii="Times New Roman" w:cs="Arial" w:eastAsia="SimSun" w:hAnsi="Times New Roman"/>
          <w:b w:val="false"/>
          <w:bCs w:val="false"/>
          <w:i w:val="false"/>
          <w:iCs w:val="false"/>
          <w:color w:val="000000"/>
          <w:sz w:val="24"/>
          <w:szCs w:val="24"/>
        </w:rPr>
        <w:t xml:space="preserve">Daily Challenge invitation: today's question with hint ladder; completion registers the streak.</w:t>
      </w:r>
    </w:p>
    <w:p>
      <w:pPr>
        <w:pStyle w:val="ListParagraph"/>
        <w:numPr>
          <w:ilvl w:val="0"/>
          <w:numId w:val="2"/>
        </w:numPr>
        <w:spacing w:after="80" w:line="312"/>
        <w:jc w:val="left"/>
      </w:pPr>
      <w:r>
        <w:rPr>
          <w:rFonts w:ascii="Times New Roman" w:cs="Arial" w:eastAsia="SimSun" w:hAnsi="Times New Roman"/>
          <w:b w:val="false"/>
          <w:bCs w:val="false"/>
          <w:i w:val="false"/>
          <w:iCs w:val="false"/>
          <w:color w:val="000000"/>
          <w:sz w:val="24"/>
          <w:szCs w:val="24"/>
        </w:rPr>
        <w:t xml:space="preserve">Review Deck seeded from the missed checkpoint items; explanation card shows how spaced repetition works.</w:t>
      </w:r>
    </w:p>
    <w:p>
      <w:pPr>
        <w:pStyle w:val="ListParagraph"/>
        <w:numPr>
          <w:ilvl w:val="0"/>
          <w:numId w:val="2"/>
        </w:numPr>
        <w:spacing w:after="80" w:line="312"/>
        <w:jc w:val="left"/>
      </w:pPr>
      <w:r>
        <w:rPr>
          <w:rFonts w:ascii="Times New Roman" w:cs="Arial" w:eastAsia="SimSun" w:hAnsi="Times New Roman"/>
          <w:b w:val="false"/>
          <w:bCs w:val="false"/>
          <w:i w:val="false"/>
          <w:iCs w:val="false"/>
          <w:color w:val="000000"/>
          <w:sz w:val="24"/>
          <w:szCs w:val="24"/>
        </w:rPr>
        <w:t xml:space="preserve">Soft account prompt only after the first bookmark or completed action (“Keep this progress safe on all devices?”) — dismissible, never blocking.</w:t>
      </w:r>
    </w:p>
    <w:p>
      <w:pPr>
        <w:pStyle w:val="ListParagraph"/>
        <w:numPr>
          <w:ilvl w:val="0"/>
          <w:numId w:val="2"/>
        </w:numPr>
        <w:spacing w:after="80" w:line="312"/>
        <w:jc w:val="left"/>
      </w:pPr>
      <w:r>
        <w:rPr>
          <w:rFonts w:ascii="Times New Roman" w:cs="Arial" w:eastAsia="SimSun" w:hAnsi="Times New Roman"/>
          <w:b w:val="false"/>
          <w:bCs w:val="false"/>
          <w:i w:val="false"/>
          <w:iCs w:val="false"/>
          <w:color w:val="000000"/>
          <w:sz w:val="24"/>
          <w:szCs w:val="24"/>
        </w:rPr>
        <w:t xml:space="preserve">Activation event recorded (bookmark + 1 completion + 1 challenge); if not reached, analytics show where the flow lost the user.</w:t>
      </w:r>
    </w:p>
    <w:p>
      <w:pPr>
        <w:pStyle w:val="Heading3"/>
        <w:spacing w:after="100" w:before="220" w:line="312"/>
      </w:pPr>
      <w:bookmarkStart w:name="_Toc49" w:id="49"/>
      <w:r>
        <w:rPr>
          <w:rFonts w:ascii="Times New Roman" w:cs="Arial" w:eastAsia="SimHei" w:hAnsi="Times New Roman"/>
          <w:b/>
          <w:bCs/>
          <w:color w:val="1A2330"/>
          <w:sz w:val="24"/>
          <w:szCs w:val="24"/>
        </w:rPr>
        <w:t xml:space="preserve">A.2 Local-to-cloud sync and merge flow</w:t>
      </w:r>
      <w:bookmarkEnd w:id="49"/>
    </w:p>
    <w:p>
      <w:pPr>
        <w:pStyle w:val="ListParagraph"/>
        <w:numPr>
          <w:ilvl w:val="0"/>
          <w:numId w:val="3"/>
        </w:numPr>
        <w:spacing w:after="80" w:line="312"/>
        <w:jc w:val="left"/>
      </w:pPr>
      <w:r>
        <w:rPr>
          <w:rFonts w:ascii="Times New Roman" w:cs="Arial" w:eastAsia="SimSun" w:hAnsi="Times New Roman"/>
          <w:b w:val="false"/>
          <w:bCs w:val="false"/>
          <w:i w:val="false"/>
          <w:iCs w:val="false"/>
          <w:color w:val="000000"/>
          <w:sz w:val="24"/>
          <w:szCs w:val="24"/>
        </w:rPr>
        <w:t xml:space="preserve">User signs in via magic link from a second device; server issues account token; local keys enumerated.</w:t>
      </w:r>
    </w:p>
    <w:p>
      <w:pPr>
        <w:pStyle w:val="ListParagraph"/>
        <w:numPr>
          <w:ilvl w:val="0"/>
          <w:numId w:val="3"/>
        </w:numPr>
        <w:spacing w:after="80" w:line="312"/>
        <w:jc w:val="left"/>
      </w:pPr>
      <w:r>
        <w:rPr>
          <w:rFonts w:ascii="Times New Roman" w:cs="Arial" w:eastAsia="SimSun" w:hAnsi="Times New Roman"/>
          <w:b w:val="false"/>
          <w:bCs w:val="false"/>
          <w:i w:val="false"/>
          <w:iCs w:val="false"/>
          <w:color w:val="000000"/>
          <w:sz w:val="24"/>
          <w:szCs w:val="24"/>
        </w:rPr>
        <w:t xml:space="preserve">Local snapshot is serialized (bookmarks, progress, notes, challenge history, review schedule, votes, preferences) with timestamps.</w:t>
      </w:r>
    </w:p>
    <w:p>
      <w:pPr>
        <w:pStyle w:val="ListParagraph"/>
        <w:numPr>
          <w:ilvl w:val="0"/>
          <w:numId w:val="3"/>
        </w:numPr>
        <w:spacing w:after="80" w:line="312"/>
        <w:jc w:val="left"/>
      </w:pPr>
      <w:r>
        <w:rPr>
          <w:rFonts w:ascii="Times New Roman" w:cs="Arial" w:eastAsia="SimSun" w:hAnsi="Times New Roman"/>
          <w:b w:val="false"/>
          <w:bCs w:val="false"/>
          <w:i w:val="false"/>
          <w:iCs w:val="false"/>
          <w:color w:val="000000"/>
          <w:sz w:val="24"/>
          <w:szCs w:val="24"/>
        </w:rPr>
        <w:t xml:space="preserve">Server merges against any existing cloud state: union for sets, newest-wins for scalars, tombstones honored for deletions.</w:t>
      </w:r>
    </w:p>
    <w:p>
      <w:pPr>
        <w:pStyle w:val="ListParagraph"/>
        <w:numPr>
          <w:ilvl w:val="0"/>
          <w:numId w:val="3"/>
        </w:numPr>
        <w:spacing w:after="80" w:line="312"/>
        <w:jc w:val="left"/>
      </w:pPr>
      <w:r>
        <w:rPr>
          <w:rFonts w:ascii="Times New Roman" w:cs="Arial" w:eastAsia="SimSun" w:hAnsi="Times New Roman"/>
          <w:b w:val="false"/>
          <w:bCs w:val="false"/>
          <w:i w:val="false"/>
          <w:iCs w:val="false"/>
          <w:color w:val="000000"/>
          <w:sz w:val="24"/>
          <w:szCs w:val="24"/>
        </w:rPr>
        <w:t xml:space="preserve">Conflicts beyond rules (e.g., divergent notes edited offline on both devices) are surfaced in a simple per-item chooser — the user decides, the system never silently discards.</w:t>
      </w:r>
    </w:p>
    <w:p>
      <w:pPr>
        <w:pStyle w:val="ListParagraph"/>
        <w:numPr>
          <w:ilvl w:val="0"/>
          <w:numId w:val="3"/>
        </w:numPr>
        <w:spacing w:after="80" w:line="312"/>
        <w:jc w:val="left"/>
      </w:pPr>
      <w:r>
        <w:rPr>
          <w:rFonts w:ascii="Times New Roman" w:cs="Arial" w:eastAsia="SimSun" w:hAnsi="Times New Roman"/>
          <w:b w:val="false"/>
          <w:bCs w:val="false"/>
          <w:i w:val="false"/>
          <w:iCs w:val="false"/>
          <w:color w:val="000000"/>
          <w:sz w:val="24"/>
          <w:szCs w:val="24"/>
        </w:rPr>
        <w:t xml:space="preserve">Merged snapshot is written back to both the server and the local store; sync indicator turns green with a human-readable “Last synced 2 minutes ago.”</w:t>
      </w:r>
    </w:p>
    <w:p>
      <w:pPr>
        <w:pStyle w:val="ListParagraph"/>
        <w:numPr>
          <w:ilvl w:val="0"/>
          <w:numId w:val="3"/>
        </w:numPr>
        <w:spacing w:after="80" w:line="312"/>
        <w:jc w:val="left"/>
      </w:pPr>
      <w:r>
        <w:rPr>
          <w:rFonts w:ascii="Times New Roman" w:cs="Arial" w:eastAsia="SimSun" w:hAnsi="Times New Roman"/>
          <w:b w:val="false"/>
          <w:bCs w:val="false"/>
          <w:i w:val="false"/>
          <w:iCs w:val="false"/>
          <w:color w:val="000000"/>
          <w:sz w:val="24"/>
          <w:szCs w:val="24"/>
        </w:rPr>
        <w:t xml:space="preserve">Subsequent changes sync incrementally in the background; offline-first is preserved — the app never waits on the network.</w:t>
      </w:r>
    </w:p>
    <w:p>
      <w:pPr>
        <w:pStyle w:val="ListParagraph"/>
        <w:numPr>
          <w:ilvl w:val="0"/>
          <w:numId w:val="3"/>
        </w:numPr>
        <w:spacing w:after="80" w:line="312"/>
        <w:jc w:val="left"/>
      </w:pPr>
      <w:r>
        <w:rPr>
          <w:rFonts w:ascii="Times New Roman" w:cs="Arial" w:eastAsia="SimSun" w:hAnsi="Times New Roman"/>
          <w:b w:val="false"/>
          <w:bCs w:val="false"/>
          <w:i w:val="false"/>
          <w:iCs w:val="false"/>
          <w:color w:val="000000"/>
          <w:sz w:val="24"/>
          <w:szCs w:val="24"/>
        </w:rPr>
        <w:t xml:space="preserve">Sign-out keeps local data intact and returns the user to full anonymous functionality; export remains one click.</w:t>
      </w:r>
    </w:p>
    <w:p>
      <w:pPr>
        <w:pStyle w:val="Heading3"/>
        <w:spacing w:after="100" w:before="220" w:line="312"/>
      </w:pPr>
      <w:bookmarkStart w:name="_Toc50" w:id="50"/>
      <w:r>
        <w:rPr>
          <w:rFonts w:ascii="Times New Roman" w:cs="Arial" w:eastAsia="SimHei" w:hAnsi="Times New Roman"/>
          <w:b/>
          <w:bCs/>
          <w:color w:val="1A2330"/>
          <w:sz w:val="24"/>
          <w:szCs w:val="24"/>
        </w:rPr>
        <w:t xml:space="preserve">A.3 Referral share flow</w:t>
      </w:r>
      <w:bookmarkEnd w:id="50"/>
    </w:p>
    <w:p>
      <w:pPr>
        <w:pStyle w:val="ListParagraph"/>
        <w:numPr>
          <w:ilvl w:val="0"/>
          <w:numId w:val="4"/>
        </w:numPr>
        <w:spacing w:after="80" w:line="312"/>
        <w:jc w:val="left"/>
      </w:pPr>
      <w:r>
        <w:rPr>
          <w:rFonts w:ascii="Times New Roman" w:cs="Arial" w:eastAsia="SimSun" w:hAnsi="Times New Roman"/>
          <w:b w:val="false"/>
          <w:bCs w:val="false"/>
          <w:i w:val="false"/>
          <w:iCs w:val="false"/>
          <w:color w:val="000000"/>
          <w:sz w:val="24"/>
          <w:szCs w:val="24"/>
        </w:rPr>
        <w:t xml:space="preserve">Trigger: milestone reached (stage completed, 30-day streak) → progress card rendered bilingually with the user's invite link.</w:t>
      </w:r>
    </w:p>
    <w:p>
      <w:pPr>
        <w:pStyle w:val="ListParagraph"/>
        <w:numPr>
          <w:ilvl w:val="0"/>
          <w:numId w:val="4"/>
        </w:numPr>
        <w:spacing w:after="80" w:line="312"/>
        <w:jc w:val="left"/>
      </w:pPr>
      <w:r>
        <w:rPr>
          <w:rFonts w:ascii="Times New Roman" w:cs="Arial" w:eastAsia="SimSun" w:hAnsi="Times New Roman"/>
          <w:b w:val="false"/>
          <w:bCs w:val="false"/>
          <w:i w:val="false"/>
          <w:iCs w:val="false"/>
          <w:color w:val="000000"/>
          <w:sz w:val="24"/>
          <w:szCs w:val="24"/>
        </w:rPr>
        <w:t xml:space="preserve">Share sheet opens natively (Telegram first on RTL/fa, then system targets); card includes a UTM-tagged deep link.</w:t>
      </w:r>
    </w:p>
    <w:p>
      <w:pPr>
        <w:pStyle w:val="ListParagraph"/>
        <w:numPr>
          <w:ilvl w:val="0"/>
          <w:numId w:val="4"/>
        </w:numPr>
        <w:spacing w:after="80" w:line="312"/>
        <w:jc w:val="left"/>
      </w:pPr>
      <w:r>
        <w:rPr>
          <w:rFonts w:ascii="Times New Roman" w:cs="Arial" w:eastAsia="SimSun" w:hAnsi="Times New Roman"/>
          <w:b w:val="false"/>
          <w:bCs w:val="false"/>
          <w:i w:val="false"/>
          <w:iCs w:val="false"/>
          <w:color w:val="000000"/>
          <w:sz w:val="24"/>
          <w:szCs w:val="24"/>
        </w:rPr>
        <w:t xml:space="preserve">Friend lands on a personalized page (“Amir is preparing for frontend interviews — join tonight's challenge”) → Appendix A.1 flow begins.</w:t>
      </w:r>
    </w:p>
    <w:p>
      <w:pPr>
        <w:pStyle w:val="ListParagraph"/>
        <w:numPr>
          <w:ilvl w:val="0"/>
          <w:numId w:val="4"/>
        </w:numPr>
        <w:spacing w:after="80" w:line="312"/>
        <w:jc w:val="left"/>
      </w:pPr>
      <w:r>
        <w:rPr>
          <w:rFonts w:ascii="Times New Roman" w:cs="Arial" w:eastAsia="SimSun" w:hAnsi="Times New Roman"/>
          <w:b w:val="false"/>
          <w:bCs w:val="false"/>
          <w:i w:val="false"/>
          <w:iCs w:val="false"/>
          <w:color w:val="000000"/>
          <w:sz w:val="24"/>
          <w:szCs w:val="24"/>
        </w:rPr>
        <w:t xml:space="preserve">Friend activates per the Section 1 definition → both accounts receive a streak freeze; referrer's counter increments.</w:t>
      </w:r>
    </w:p>
    <w:p>
      <w:pPr>
        <w:pStyle w:val="ListParagraph"/>
        <w:numPr>
          <w:ilvl w:val="0"/>
          <w:numId w:val="4"/>
        </w:numPr>
        <w:spacing w:after="80" w:line="312"/>
        <w:jc w:val="left"/>
      </w:pPr>
      <w:r>
        <w:rPr>
          <w:rFonts w:ascii="Times New Roman" w:cs="Arial" w:eastAsia="SimSun" w:hAnsi="Times New Roman"/>
          <w:b w:val="false"/>
          <w:bCs w:val="false"/>
          <w:i w:val="false"/>
          <w:iCs w:val="false"/>
          <w:color w:val="000000"/>
          <w:sz w:val="24"/>
          <w:szCs w:val="24"/>
        </w:rPr>
        <w:t xml:space="preserve">At 3 activations, the referrer earns a Pro month; at 5, the lifetime 30% annual discount (Section 5.5).</w:t>
      </w:r>
    </w:p>
    <w:p>
      <w:pPr>
        <w:pStyle w:val="ListParagraph"/>
        <w:numPr>
          <w:ilvl w:val="0"/>
          <w:numId w:val="4"/>
        </w:numPr>
        <w:spacing w:after="80" w:line="312"/>
        <w:jc w:val="left"/>
      </w:pPr>
      <w:r>
        <w:rPr>
          <w:rFonts w:ascii="Times New Roman" w:cs="Arial" w:eastAsia="SimSun" w:hAnsi="Times New Roman"/>
          <w:b w:val="false"/>
          <w:bCs w:val="false"/>
          <w:i w:val="false"/>
          <w:iCs w:val="false"/>
          <w:color w:val="000000"/>
          <w:sz w:val="24"/>
          <w:szCs w:val="24"/>
        </w:rPr>
        <w:t xml:space="preserve">K-factor computed weekly from invite-link cohort data; loop variants are A/B tested only when sample sizes allow honest reads.</w:t>
      </w:r>
    </w:p>
    <w:p>
      <w:pPr>
        <w:pStyle w:val="Heading2"/>
        <w:spacing w:after="120" w:before="280" w:line="312"/>
      </w:pPr>
      <w:bookmarkStart w:name="_Toc51" w:id="51"/>
      <w:r>
        <w:rPr>
          <w:rFonts w:ascii="Times New Roman" w:cs="Arial" w:eastAsia="SimHei" w:hAnsi="Times New Roman"/>
          <w:b/>
          <w:bCs/>
          <w:color w:val="1A2330"/>
          <w:sz w:val="28"/>
          <w:szCs w:val="28"/>
        </w:rPr>
        <w:t xml:space="preserve">Appendix B. Interview Readiness Score v1 Specification</w:t>
      </w:r>
      <w:bookmarkEnd w:id="51"/>
    </w:p>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Purpose: a single 0–100 number that honestly reflects preparedness for the user's target role, updated daily, computable from local state in v0 and account state in v1. </w:t>
      </w:r>
      <w:r>
        <w:rPr>
          <w:rFonts w:ascii="Times New Roman" w:cs="Arial" w:eastAsia="SimSun" w:hAnsi="Times New Roman"/>
          <w:b w:val="false"/>
          <w:bCs w:val="false"/>
          <w:i w:val="false"/>
          <w:iCs w:val="false"/>
          <w:color w:val="000000"/>
          <w:sz w:val="24"/>
          <w:szCs w:val="24"/>
        </w:rPr>
        <w:t xml:space="preserve">The score is deliberately transparent: every component is user-visible with its contribution, because a number users cannot interrogate is a number they will distrust. </w:t>
      </w:r>
      <w:r>
        <w:rPr>
          <w:rFonts w:ascii="Times New Roman" w:cs="Arial" w:eastAsia="SimSun" w:hAnsi="Times New Roman"/>
          <w:b w:val="false"/>
          <w:bCs w:val="false"/>
          <w:i w:val="false"/>
          <w:iCs w:val="false"/>
          <w:color w:val="000000"/>
          <w:sz w:val="24"/>
          <w:szCs w:val="24"/>
        </w:rPr>
        <w:t xml:space="preserve">Anti-gaming notes: components are normalized against the user's own history rather than absolute counts, streak credit saturates (a 40-day streak adds no more than a 21-day one), and challenge accuracy uses a rolling window so old lucky streaks decay.</w:t>
      </w:r>
    </w:p>
    <w:p>
      <w:pPr>
        <w:keepNext/>
        <w:spacing w:after="100" w:before="200" w:line="312"/>
        <w:jc w:val="left"/>
      </w:pPr>
      <w:r>
        <w:rPr>
          <w:rFonts w:ascii="Times New Roman" w:cs="Arial" w:eastAsia="SimSun" w:hAnsi="Times New Roman"/>
          <w:b/>
          <w:bCs/>
          <w:color w:val="1A2330"/>
          <w:sz w:val="21"/>
          <w:szCs w:val="21"/>
        </w:rPr>
        <w:t xml:space="preserve">Table 19.  </w:t>
      </w:r>
      <w:r>
        <w:rPr>
          <w:rFonts w:ascii="Times New Roman" w:cs="Arial" w:eastAsia="SimSun" w:hAnsi="Times New Roman"/>
          <w:color w:val="5A6572"/>
          <w:sz w:val="21"/>
          <w:szCs w:val="21"/>
        </w:rPr>
        <w:t xml:space="preserve">Readiness Score v1 components and weights (sum = 100).</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1845"/>
        <w:gridCol w:w="967"/>
        <w:gridCol w:w="3339"/>
        <w:gridCol w:w="2636"/>
      </w:tblGrid>
      <w:tr>
        <w:trPr>
          <w:cantSplit/>
          <w:tblHeader/>
        </w:trPr>
        <w:tc>
          <w:tcPr>
            <w:tcW w:type="pct" w:w="10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Component</w:t>
            </w:r>
          </w:p>
        </w:tc>
        <w:tc>
          <w:tcPr>
            <w:tcW w:type="pct" w:w="55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Weight</w:t>
            </w:r>
          </w:p>
        </w:tc>
        <w:tc>
          <w:tcPr>
            <w:tcW w:type="pct" w:w="19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Inputs</w:t>
            </w:r>
          </w:p>
        </w:tc>
        <w:tc>
          <w:tcPr>
            <w:tcW w:type="pct" w:w="15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Rationale</w:t>
            </w:r>
          </w:p>
        </w:tc>
      </w:tr>
      <w:tr>
        <w:trPr>
          <w:cantSplit/>
        </w:trPr>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Roadmap completion</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30</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Completed resources and stages within the active role path</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Coverage of the defined surface</w:t>
            </w:r>
          </w:p>
        </w:tc>
      </w:tr>
      <w:tr>
        <w:trPr>
          <w:cantSplit/>
        </w:trPr>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Challenge accuracy trend</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25</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Rolling 21-day accuracy and difficulty mix on Daily Challenge / bank questions</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Recency-weighted skill signal</w:t>
            </w:r>
          </w:p>
        </w:tc>
      </w:tr>
      <w:tr>
        <w:trPr>
          <w:cantSplit/>
        </w:trPr>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Review discipline</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20</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Share of due Review Deck cards completed on schedule</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Measures retention behavior, not memory</w:t>
            </w:r>
          </w:p>
        </w:tc>
      </w:tr>
      <w:tr>
        <w:trPr>
          <w:cantSplit/>
        </w:trPr>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Practice breadth</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15</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Distinct topics touched in the last 14 days vs. role path topic map</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Guards against single-topic tunnel vision</w:t>
            </w:r>
          </w:p>
        </w:tc>
      </w:tr>
      <w:tr>
        <w:trPr>
          <w:cantSplit/>
        </w:trPr>
        <w:tc>
          <w:tcPr>
            <w:tcW w:type="pct" w:w="10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Consistency</w:t>
            </w:r>
          </w:p>
        </w:tc>
        <w:tc>
          <w:tcPr>
            <w:tcW w:type="pct" w:w="55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10</w:t>
            </w:r>
          </w:p>
        </w:tc>
        <w:tc>
          <w:tcPr>
            <w:tcW w:type="pct" w:w="19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Active days in the last 21, saturating at 15</w:t>
            </w:r>
          </w:p>
        </w:tc>
        <w:tc>
          <w:tcPr>
            <w:tcW w:type="pct" w:w="15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Habit strength with a capped, honest ceiling</w:t>
            </w:r>
          </w:p>
        </w:tc>
      </w:tr>
    </w:tbl>
    <w:p>
      <w:pPr>
        <w:keepNext w:val="false"/>
        <w:spacing w:after="140" w:line="312"/>
        <w:jc w:val="left"/>
      </w:pPr>
      <w:r>
        <w:rPr>
          <w:rFonts w:ascii="Times New Roman" w:cs="Arial" w:eastAsia="SimSun" w:hAnsi="Times New Roman"/>
          <w:b w:val="false"/>
          <w:bCs w:val="false"/>
          <w:i w:val="false"/>
          <w:iCs w:val="false"/>
          <w:color w:val="000000"/>
          <w:sz w:val="24"/>
          <w:szCs w:val="24"/>
        </w:rPr>
        <w:t xml:space="preserve">Formula: score = ∑ (weight × normalized component), where each component is normalized to 0–1 against its own saturation curve (completion ratios for coverage components, recency-weighted accuracy for skill components). </w:t>
      </w:r>
      <w:r>
        <w:rPr>
          <w:rFonts w:ascii="Times New Roman" w:cs="Arial" w:eastAsia="SimSun" w:hAnsi="Times New Roman"/>
          <w:b w:val="false"/>
          <w:bCs w:val="false"/>
          <w:i w:val="false"/>
          <w:iCs w:val="false"/>
          <w:color w:val="000000"/>
          <w:sz w:val="24"/>
          <w:szCs w:val="24"/>
        </w:rPr>
        <w:t xml:space="preserve">The score is always accompanied by the two components with the largest headroom — “your score is 64; review discipline and challenge accuracy are holding it back” — which converts the metric into the Next Best Action (Section 3.3) and closes the loop between analytics and daily behavior.</w:t>
      </w:r>
    </w:p>
    <w:p>
      <w:pPr>
        <w:pStyle w:val="Heading2"/>
        <w:spacing w:after="120" w:before="280" w:line="312"/>
      </w:pPr>
      <w:bookmarkStart w:name="_Toc52" w:id="52"/>
      <w:r>
        <w:rPr>
          <w:rFonts w:ascii="Times New Roman" w:cs="Arial" w:eastAsia="SimHei" w:hAnsi="Times New Roman"/>
          <w:b/>
          <w:bCs/>
          <w:color w:val="1A2330"/>
          <w:sz w:val="28"/>
          <w:szCs w:val="28"/>
        </w:rPr>
        <w:t xml:space="preserve">Appendix C. Metric Definitions</w:t>
      </w:r>
      <w:bookmarkEnd w:id="52"/>
    </w:p>
    <w:p>
      <w:pPr>
        <w:keepNext/>
        <w:spacing w:after="100" w:before="200" w:line="312"/>
        <w:jc w:val="left"/>
      </w:pPr>
      <w:r>
        <w:rPr>
          <w:rFonts w:ascii="Times New Roman" w:cs="Arial" w:eastAsia="SimSun" w:hAnsi="Times New Roman"/>
          <w:b/>
          <w:bCs/>
          <w:color w:val="1A2330"/>
          <w:sz w:val="21"/>
          <w:szCs w:val="21"/>
        </w:rPr>
        <w:t xml:space="preserve">Table 20.  </w:t>
      </w:r>
      <w:r>
        <w:rPr>
          <w:rFonts w:ascii="Times New Roman" w:cs="Arial" w:eastAsia="SimSun" w:hAnsi="Times New Roman"/>
          <w:color w:val="5A6572"/>
          <w:sz w:val="21"/>
          <w:szCs w:val="21"/>
        </w:rPr>
        <w:t xml:space="preserve">Shared metric vocabulary. Single definitions live here and are referenced everywhere else.</w:t>
      </w:r>
    </w:p>
    <w:tbl>
      <w:tblPr>
        <w:tblW w:type="pct" w:w="5000"/>
        <w:tblBorders>
          <w:top w:val="single" w:color="D4875A" w:sz="4"/>
          <w:left w:val="none" w:color="FFFFFF" w:sz="0"/>
          <w:bottom w:val="single" w:color="D4875A" w:sz="4"/>
          <w:right w:val="none" w:color="FFFFFF" w:sz="0"/>
          <w:insideH w:val="single" w:color="DDD0C8" w:sz="2"/>
          <w:insideV w:val="none" w:color="FFFFFF" w:sz="0"/>
        </w:tblBorders>
        <w:tblLayout w:type="fixed"/>
      </w:tblPr>
      <w:tblGrid>
        <w:gridCol w:w="2109"/>
        <w:gridCol w:w="3867"/>
        <w:gridCol w:w="2812"/>
      </w:tblGrid>
      <w:tr>
        <w:trPr>
          <w:cantSplit/>
          <w:tblHeader/>
        </w:trPr>
        <w:tc>
          <w:tcPr>
            <w:tcW w:type="pct" w:w="12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Metric</w:t>
            </w:r>
          </w:p>
        </w:tc>
        <w:tc>
          <w:tcPr>
            <w:tcW w:type="pct" w:w="22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Definition</w:t>
            </w:r>
          </w:p>
        </w:tc>
        <w:tc>
          <w:tcPr>
            <w:tcW w:type="pct" w:w="1600"/>
            <w:shd w:fill="D4875A" w:val="clear"/>
            <w:tcMar>
              <w:top w:type="dxa" w:w="70"/>
              <w:left w:type="dxa" w:w="110"/>
              <w:bottom w:type="dxa" w:w="70"/>
              <w:right w:type="dxa" w:w="110"/>
            </w:tcMar>
          </w:tcPr>
          <w:p>
            <w:pPr>
              <w:spacing w:after="20" w:before="20" w:line="312"/>
              <w:jc w:val="left"/>
            </w:pPr>
            <w:r>
              <w:rPr>
                <w:rFonts w:ascii="Times New Roman" w:cs="Arial" w:eastAsia="SimSun" w:hAnsi="Times New Roman"/>
                <w:b/>
                <w:bCs/>
                <w:color w:val="FFFFFF"/>
                <w:sz w:val="21"/>
                <w:szCs w:val="21"/>
              </w:rPr>
              <w:t xml:space="preserve">Notes</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Prep action</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Completing a resource, finishing a Daily Challenge, completing due Review Deck cards, or adding a note</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The atomic unit behind the north star</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Weekly Active Prepper (WAP)</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Distinct user with 3+ prep actions in a rolling 7-day window</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North-star metric (Section 1)</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Activation</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First session containing bookmark ≥ 1, completion ≥ 1, and 1 finished challenge</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Predicts D30; measured per new user</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D7 / D30 retention</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Share of a first-session cohort returning on day 7 / day 30 (or within ±2-day window)</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Both strict-day and window variants reported</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Resource completion rate</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Resources marked completed ÷ resources marked in progress</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Curation quality proxy</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Streak persistence</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Activated users whose streak reaches 7+ days</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Habit anchor health</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Review due discipline</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Due cards completed within 48 hours of due date</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Drives readiness score component</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K-factor</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Invited users who activate ÷ inviting users, per week</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Referral loop efficiency</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Free-to-Pro conversion</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Active paying accounts ÷ active accounts (30-day window)</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Reported with and without lifetime tier</w:t>
            </w:r>
          </w:p>
        </w:tc>
      </w:tr>
      <w:tr>
        <w:trPr>
          <w:cantSplit/>
        </w:trPr>
        <w:tc>
          <w:tcPr>
            <w:tcW w:type="pct" w:w="1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Loop contribution</w:t>
            </w:r>
          </w:p>
        </w:tc>
        <w:tc>
          <w:tcPr>
            <w:tcW w:type="pct" w:w="22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New activated users attributed to each growth loop</w:t>
            </w:r>
          </w:p>
        </w:tc>
        <w:tc>
          <w:tcPr>
            <w:tcW w:type="pct" w:w="1600"/>
            <w:tcMar>
              <w:top w:type="dxa" w:w="60"/>
              <w:left w:type="dxa" w:w="110"/>
              <w:bottom w:type="dxa" w:w="60"/>
              <w:right w:type="dxa" w:w="110"/>
            </w:tcMar>
          </w:tcPr>
          <w:p>
            <w:pPr>
              <w:spacing w:after="20" w:before="20" w:line="312"/>
              <w:jc w:val="left"/>
            </w:pPr>
            <w:r>
              <w:rPr>
                <w:rFonts w:ascii="Times New Roman" w:cs="Arial" w:eastAsia="SimSun" w:hAnsi="Times New Roman"/>
                <w:b w:val="false"/>
                <w:bCs w:val="false"/>
                <w:color w:val="000000"/>
                <w:sz w:val="20"/>
                <w:szCs w:val="20"/>
              </w:rPr>
              <w:t xml:space="preserve">Monthly reallocation input (7.4 rhythm)</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rFonts w:ascii="Times New Roman" w:cs="Arial" w:eastAsia="SimSun" w:hAnsi="Times New Roman"/>
        <w:color w:val="808080"/>
        <w:sz w:val="18"/>
        <w:szCs w:val="18"/>
      </w:rPr>
      <w:fldChar w:fldCharType="begin"/>
    </w:r>
    <w:r>
      <w:rPr>
        <w:rFonts w:ascii="Times New Roman" w:cs="Arial" w:eastAsia="SimSun" w:hAnsi="Times New Roman"/>
        <w:color w:val="808080"/>
        <w:sz w:val="18"/>
        <w:szCs w:val="18"/>
      </w:rPr>
      <w:instrText xml:space="preserve"> PAGE \* ROMAN \* MERGEFORMAT </w:instrText>
    </w:r>
    <w:r>
      <w:rPr>
        <w:rFonts w:ascii="Times New Roman" w:cs="Arial" w:eastAsia="SimSun" w:hAnsi="Times New Roman"/>
        <w:color w:val="808080"/>
        <w:sz w:val="18"/>
        <w:szCs w:val="18"/>
      </w:rPr>
      <w:fldChar w:fldCharType="separate"/>
    </w:r>
    <w:r>
      <w:rPr>
        <w:rFonts w:ascii="Times New Roman" w:cs="Arial"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rFonts w:ascii="Times New Roman" w:cs="Arial" w:eastAsia="SimSun" w:hAnsi="Times New Roman"/>
        <w:color w:val="808080"/>
        <w:sz w:val="18"/>
        <w:szCs w:val="18"/>
      </w:rPr>
      <w:fldChar w:fldCharType="begin"/>
    </w:r>
    <w:r>
      <w:rPr>
        <w:rFonts w:ascii="Times New Roman" w:cs="Arial" w:eastAsia="SimSun" w:hAnsi="Times New Roman"/>
        <w:color w:val="808080"/>
        <w:sz w:val="18"/>
        <w:szCs w:val="18"/>
      </w:rPr>
      <w:instrText xml:space="preserve"> PAGE \* arabic \* MERGEFORMAT </w:instrText>
    </w:r>
    <w:r>
      <w:rPr>
        <w:rFonts w:ascii="Times New Roman" w:cs="Arial" w:eastAsia="SimSun" w:hAnsi="Times New Roman"/>
        <w:color w:val="808080"/>
        <w:sz w:val="18"/>
        <w:szCs w:val="18"/>
      </w:rPr>
      <w:fldChar w:fldCharType="separate"/>
    </w:r>
    <w:r>
      <w:rPr>
        <w:rFonts w:ascii="Times New Roman" w:cs="Arial"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cs="Arial" w:eastAsia="SimSun" w:hAnsi="Times New Roman"/>
        <w:color w:val="808080"/>
        <w:sz w:val="18"/>
        <w:szCs w:val="18"/>
      </w:rPr>
      <w:t xml:space="preserve">DevReady — Product &amp; Growth Master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cs="Arial" w:eastAsia="SimSun" w:hAnsi="Times New Roman"/>
        <w:color w:val="808080"/>
        <w:sz w:val="18"/>
        <w:szCs w:val="18"/>
      </w:rPr>
      <w:t xml:space="preserve">DevReady — Product &amp; Growth Master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Arial"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line="312"/>
      <w:outlineLvl w:val="0"/>
    </w:pPr>
    <w:rPr>
      <w:rFonts w:ascii="Times New Roman" w:cs="Arial" w:eastAsia="SimHei" w:hAnsi="Times New Roman"/>
      <w:b/>
      <w:bCs/>
      <w:color w:val="1A2330"/>
      <w:sz w:val="32"/>
      <w:szCs w:val="32"/>
    </w:rPr>
  </w:style>
  <w:style w:type="paragraph" w:styleId="Heading2">
    <w:name w:val="Heading 2"/>
    <w:basedOn w:val="Normal"/>
    <w:next w:val="Normal"/>
    <w:qFormat/>
    <w:pPr>
      <w:spacing w:after="120" w:before="280" w:line="312"/>
      <w:outlineLvl w:val="1"/>
    </w:pPr>
    <w:rPr>
      <w:rFonts w:ascii="Times New Roman" w:cs="Arial" w:eastAsia="SimHei" w:hAnsi="Times New Roman"/>
      <w:b/>
      <w:bCs/>
      <w:color w:val="1A2330"/>
      <w:sz w:val="28"/>
      <w:szCs w:val="28"/>
    </w:rPr>
  </w:style>
  <w:style w:type="paragraph" w:styleId="Heading3">
    <w:name w:val="Heading 3"/>
    <w:basedOn w:val="Normal"/>
    <w:next w:val="Normal"/>
    <w:qFormat/>
    <w:pPr>
      <w:spacing w:after="100" w:before="220" w:line="312"/>
      <w:outlineLvl w:val="2"/>
    </w:pPr>
    <w:rPr>
      <w:rFonts w:ascii="Times New Roman" w:cs="Arial" w:eastAsia="SimHei" w:hAnsi="Times New Roman"/>
      <w:b/>
      <w:bCs/>
      <w:color w:val="1A233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37742ee375ed7f80e1b1cc220123b7bca14d0953.png"/><Relationship Id="rId12" Type="http://schemas.openxmlformats.org/officeDocument/2006/relationships/image" Target="media/cff1f4847393f43fc5c557f69e71f8ae19b9d16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2026-10-23T21:18:44.565Z</dcterms:created>
  <dcterms:modified xsi:type="dcterms:W3CDTF">2026-10-23T21:18:44.565Z</dcterms:modified>
</cp:coreProperties>
</file>

<file path=docProps/custom.xml><?xml version="1.0" encoding="utf-8"?>
<Properties xmlns="http://schemas.openxmlformats.org/officeDocument/2006/custom-properties" xmlns:vt="http://schemas.openxmlformats.org/officeDocument/2006/docPropsVTypes"/>
</file>