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شرایط پشتیبانی و توافق‌نامه خدمات</w:t>
      </w:r>
    </w:p>
    <w:p>
      <w:pPr>
        <w:pStyle w:val="Heading2"/>
        <w:jc w:val="right"/>
        <w:bidi/>
      </w:pPr>
      <w:r>
        <w:t>سطوح پشتیبانی و SLA</w:t>
      </w:r>
    </w:p>
    <w:p>
      <w:pPr>
        <w:jc w:val="right"/>
        <w:bidi/>
      </w:pPr>
      <w:r>
        <w:t>زمان پاسخ اولیه از لحظه ثبت درخواست در مرکز پشتیبانی محاسبه می‌شود.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  <w:bidi/>
            </w:pPr>
            <w:r>
              <w:t>سطح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پاسخ اولیه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ساعات پوشش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شناسه SLA</w:t>
            </w:r>
          </w:p>
        </w:tc>
      </w:tr>
      <w:tr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۸ ساعت کاری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شنبه تا چهارشنبه</w:t>
            </w:r>
          </w:p>
        </w:tc>
        <w:tc>
          <w:tcPr>
            <w:tcW w:type="dxa" w:w="2160"/>
          </w:tcPr>
          <w:p>
            <w:r>
              <w:t>SLA-STD-008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۲ ساعت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هر روز ۸ تا ۲۰</w:t>
            </w:r>
          </w:p>
        </w:tc>
        <w:tc>
          <w:tcPr>
            <w:tcW w:type="dxa" w:w="2160"/>
          </w:tcPr>
          <w:p>
            <w:r>
              <w:t>SLA-PRO-002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۳۰ دقیقه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۲۴ ساعته، ۷ روز هفته</w:t>
            </w:r>
          </w:p>
        </w:tc>
        <w:tc>
          <w:tcPr>
            <w:tcW w:type="dxa" w:w="2160"/>
          </w:tcPr>
          <w:p>
            <w:r>
              <w:t>SLA-ENT-247</w:t>
            </w:r>
          </w:p>
        </w:tc>
      </w:tr>
    </w:tbl>
    <w:p>
      <w:pPr>
        <w:pStyle w:val="Heading2"/>
        <w:jc w:val="right"/>
        <w:bidi/>
      </w:pPr>
      <w:r>
        <w:t>پرداخت و صورت‌حساب</w:t>
      </w:r>
    </w:p>
    <w:p>
      <w:pPr>
        <w:jc w:val="right"/>
        <w:bidi/>
      </w:pPr>
      <w:r>
        <w:t>فاکتور نمونه با شناسه INV-2026-0456 مربوط به پلن حرفه‌ای است و مبلغ آن ۴۹۰٬۰۰۰ تومان است.</w:t>
      </w:r>
    </w:p>
    <w:p>
      <w:pPr>
        <w:jc w:val="right"/>
        <w:bidi/>
      </w:pPr>
      <w:r>
        <w:t>مهلت پرداخت هر فاکتور هفت روز پس از تاریخ صدور است.</w:t>
      </w:r>
    </w:p>
    <w:p>
      <w:pPr>
        <w:pStyle w:val="Heading2"/>
        <w:jc w:val="right"/>
        <w:bidi/>
      </w:pPr>
      <w:r>
        <w:t>پشتیبان‌گیری و بازیابی اطلاعات</w:t>
      </w:r>
    </w:p>
    <w:p>
      <w:pPr>
        <w:jc w:val="right"/>
        <w:bidi/>
      </w:pPr>
      <w:r>
        <w:t>نسخه پشتیبان روزانه ساعت ۰۲:۰۰ ایجاد می‌شود و به مدت ۳۰ روز نگهداری خواهد شد.</w:t>
      </w:r>
    </w:p>
    <w:p>
      <w:pPr>
        <w:jc w:val="right"/>
        <w:bidi/>
      </w:pPr>
      <w:r>
        <w:t>درخواست بازیابی داده با کد REF-RESTORE-302 ثبت می‌شود.</w:t>
      </w:r>
    </w:p>
    <w:p>
      <w:pPr>
        <w:pStyle w:val="Heading2"/>
        <w:jc w:val="right"/>
        <w:bidi/>
      </w:pPr>
      <w:r>
        <w:t>لغو اشتراک</w:t>
      </w:r>
    </w:p>
    <w:p>
      <w:pPr>
        <w:jc w:val="right"/>
        <w:bidi/>
      </w:pPr>
      <w:r>
        <w:t>کاربر می‌تواند تا ۴۸ ساعت پیش از تمدید اشتراک درخواست لغو را ثبت کند.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شرایط پشتیبانی و قیمت‌گذاری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