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B141A" w14:textId="3072EA11" w:rsidR="001A3129" w:rsidRPr="001A3129" w:rsidRDefault="001A3129" w:rsidP="001A3129">
      <w:pPr>
        <w:rPr>
          <w:noProof/>
        </w:rPr>
      </w:pPr>
      <w:r w:rsidRPr="001A3129">
        <w:rPr>
          <w:noProof/>
        </w:rPr>
        <w:drawing>
          <wp:inline distT="0" distB="0" distL="0" distR="0" wp14:anchorId="7F39D6A0" wp14:editId="5BE9B934">
            <wp:extent cx="5731510" cy="2369185"/>
            <wp:effectExtent l="0" t="0" r="2540" b="0"/>
            <wp:docPr id="1410704028"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69185"/>
                    </a:xfrm>
                    <a:prstGeom prst="rect">
                      <a:avLst/>
                    </a:prstGeom>
                    <a:noFill/>
                    <a:ln>
                      <a:noFill/>
                    </a:ln>
                  </pic:spPr>
                </pic:pic>
              </a:graphicData>
            </a:graphic>
          </wp:inline>
        </w:drawing>
      </w:r>
    </w:p>
    <w:p w14:paraId="16AEE803" w14:textId="52ACAD8E" w:rsidR="001A3129" w:rsidRPr="001A3129" w:rsidRDefault="001A3129" w:rsidP="001A3129">
      <w:pPr>
        <w:rPr>
          <w:noProof/>
        </w:rPr>
      </w:pPr>
      <w:r w:rsidRPr="001A3129">
        <w:rPr>
          <w:noProof/>
        </w:rPr>
        <w:drawing>
          <wp:inline distT="0" distB="0" distL="0" distR="0" wp14:anchorId="68EBB6D4" wp14:editId="6D4D89CF">
            <wp:extent cx="5715000" cy="4914900"/>
            <wp:effectExtent l="0" t="0" r="0" b="0"/>
            <wp:docPr id="7677823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5000" cy="4914900"/>
                    </a:xfrm>
                    <a:prstGeom prst="rect">
                      <a:avLst/>
                    </a:prstGeom>
                    <a:noFill/>
                    <a:ln>
                      <a:noFill/>
                    </a:ln>
                  </pic:spPr>
                </pic:pic>
              </a:graphicData>
            </a:graphic>
          </wp:inline>
        </w:drawing>
      </w:r>
    </w:p>
    <w:p w14:paraId="4F078844" w14:textId="7E3040E6" w:rsidR="001A3129" w:rsidRPr="001A3129" w:rsidRDefault="001A3129" w:rsidP="001A3129">
      <w:pPr>
        <w:rPr>
          <w:noProof/>
        </w:rPr>
      </w:pPr>
      <w:r w:rsidRPr="001A3129">
        <w:rPr>
          <w:noProof/>
        </w:rPr>
        <w:lastRenderedPageBreak/>
        <w:drawing>
          <wp:inline distT="0" distB="0" distL="0" distR="0" wp14:anchorId="35D1C2DA" wp14:editId="3B9247D4">
            <wp:extent cx="5731510" cy="3820795"/>
            <wp:effectExtent l="0" t="0" r="2540" b="8255"/>
            <wp:docPr id="81339980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F0375FC" w14:textId="3EEDCE83" w:rsidR="001A3129" w:rsidRPr="001A3129" w:rsidRDefault="001A3129" w:rsidP="001A3129">
      <w:pPr>
        <w:rPr>
          <w:noProof/>
        </w:rPr>
      </w:pPr>
      <w:r w:rsidRPr="001A3129">
        <w:rPr>
          <w:noProof/>
        </w:rPr>
        <w:drawing>
          <wp:inline distT="0" distB="0" distL="0" distR="0" wp14:anchorId="4B2CE4E2" wp14:editId="296C51FE">
            <wp:extent cx="5731510" cy="3853815"/>
            <wp:effectExtent l="0" t="0" r="2540" b="0"/>
            <wp:docPr id="25702019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53815"/>
                    </a:xfrm>
                    <a:prstGeom prst="rect">
                      <a:avLst/>
                    </a:prstGeom>
                    <a:noFill/>
                    <a:ln>
                      <a:noFill/>
                    </a:ln>
                  </pic:spPr>
                </pic:pic>
              </a:graphicData>
            </a:graphic>
          </wp:inline>
        </w:drawing>
      </w:r>
    </w:p>
    <w:p w14:paraId="72D24A37" w14:textId="39198600" w:rsidR="001A3129" w:rsidRPr="001A3129" w:rsidRDefault="001A3129" w:rsidP="001A3129">
      <w:pPr>
        <w:rPr>
          <w:noProof/>
        </w:rPr>
      </w:pPr>
      <w:r w:rsidRPr="001A3129">
        <w:rPr>
          <w:noProof/>
        </w:rPr>
        <w:lastRenderedPageBreak/>
        <w:drawing>
          <wp:inline distT="0" distB="0" distL="0" distR="0" wp14:anchorId="14559B14" wp14:editId="5ECE3FA4">
            <wp:extent cx="5731510" cy="4080510"/>
            <wp:effectExtent l="0" t="0" r="2540" b="0"/>
            <wp:docPr id="1191215709"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80510"/>
                    </a:xfrm>
                    <a:prstGeom prst="rect">
                      <a:avLst/>
                    </a:prstGeom>
                    <a:noFill/>
                    <a:ln>
                      <a:noFill/>
                    </a:ln>
                  </pic:spPr>
                </pic:pic>
              </a:graphicData>
            </a:graphic>
          </wp:inline>
        </w:drawing>
      </w:r>
    </w:p>
    <w:p w14:paraId="087621FC" w14:textId="77777777" w:rsidR="001A3129" w:rsidRPr="001A3129" w:rsidRDefault="001A3129" w:rsidP="001A3129">
      <w:pPr>
        <w:rPr>
          <w:b/>
          <w:bCs/>
          <w:noProof/>
        </w:rPr>
      </w:pPr>
      <w:r w:rsidRPr="001A3129">
        <w:rPr>
          <w:b/>
          <w:bCs/>
          <w:noProof/>
        </w:rPr>
        <w:t>International Tennis Federation</w:t>
      </w:r>
    </w:p>
    <w:p w14:paraId="370279B8" w14:textId="77777777" w:rsidR="001A3129" w:rsidRPr="001A3129" w:rsidRDefault="001A3129" w:rsidP="001A3129">
      <w:pPr>
        <w:rPr>
          <w:noProof/>
        </w:rPr>
      </w:pPr>
      <w:r w:rsidRPr="001A3129">
        <w:rPr>
          <w:noProof/>
        </w:rPr>
        <w:t xml:space="preserve">The International Tennis Federation (ITF; </w:t>
      </w:r>
      <w:r w:rsidRPr="001A3129">
        <w:rPr>
          <w:noProof/>
          <w:rtl/>
        </w:rPr>
        <w:t>فدراسیون جهانی تنیس</w:t>
      </w:r>
      <w:r w:rsidRPr="001A3129">
        <w:rPr>
          <w:noProof/>
        </w:rPr>
        <w:t>) is the world governing body for tennis, responsible for overseeing the rules, global competitions, and the development of the sport. It organizes major team events, administers the international ranking structure, and works with regional and national associations to promote tennis worldwide.</w:t>
      </w:r>
    </w:p>
    <w:p w14:paraId="75045205" w14:textId="77777777" w:rsidR="001A3129" w:rsidRPr="001A3129" w:rsidRDefault="001A3129" w:rsidP="001A3129">
      <w:pPr>
        <w:rPr>
          <w:b/>
          <w:bCs/>
          <w:noProof/>
        </w:rPr>
      </w:pPr>
      <w:r w:rsidRPr="001A3129">
        <w:rPr>
          <w:b/>
          <w:bCs/>
          <w:noProof/>
        </w:rPr>
        <w:t>Key facts</w:t>
      </w:r>
    </w:p>
    <w:p w14:paraId="41CB8346" w14:textId="77777777" w:rsidR="001A3129" w:rsidRPr="001A3129" w:rsidRDefault="001A3129" w:rsidP="001A3129">
      <w:pPr>
        <w:numPr>
          <w:ilvl w:val="0"/>
          <w:numId w:val="2"/>
        </w:numPr>
        <w:rPr>
          <w:noProof/>
        </w:rPr>
      </w:pPr>
      <w:r w:rsidRPr="001A3129">
        <w:rPr>
          <w:b/>
          <w:bCs/>
          <w:noProof/>
        </w:rPr>
        <w:t>Founded:</w:t>
      </w:r>
      <w:r w:rsidRPr="001A3129">
        <w:rPr>
          <w:noProof/>
        </w:rPr>
        <w:t xml:space="preserve"> 1913 (as the International Lawn Tennis Federation)</w:t>
      </w:r>
    </w:p>
    <w:p w14:paraId="3777FF34" w14:textId="77777777" w:rsidR="001A3129" w:rsidRPr="001A3129" w:rsidRDefault="001A3129" w:rsidP="001A3129">
      <w:pPr>
        <w:numPr>
          <w:ilvl w:val="0"/>
          <w:numId w:val="2"/>
        </w:numPr>
        <w:rPr>
          <w:noProof/>
        </w:rPr>
      </w:pPr>
      <w:r w:rsidRPr="001A3129">
        <w:rPr>
          <w:b/>
          <w:bCs/>
          <w:noProof/>
        </w:rPr>
        <w:t>Headquarters:</w:t>
      </w:r>
      <w:r w:rsidRPr="001A3129">
        <w:rPr>
          <w:noProof/>
        </w:rPr>
        <w:t xml:space="preserve"> London, United Kingdom</w:t>
      </w:r>
    </w:p>
    <w:p w14:paraId="11864184" w14:textId="77777777" w:rsidR="001A3129" w:rsidRPr="001A3129" w:rsidRDefault="001A3129" w:rsidP="001A3129">
      <w:pPr>
        <w:numPr>
          <w:ilvl w:val="0"/>
          <w:numId w:val="2"/>
        </w:numPr>
        <w:rPr>
          <w:noProof/>
        </w:rPr>
      </w:pPr>
      <w:r w:rsidRPr="001A3129">
        <w:rPr>
          <w:b/>
          <w:bCs/>
          <w:noProof/>
        </w:rPr>
        <w:t>Membership:</w:t>
      </w:r>
      <w:r w:rsidRPr="001A3129">
        <w:rPr>
          <w:noProof/>
        </w:rPr>
        <w:t xml:space="preserve"> Over 210 national associations</w:t>
      </w:r>
    </w:p>
    <w:p w14:paraId="668C0D56" w14:textId="77777777" w:rsidR="001A3129" w:rsidRPr="001A3129" w:rsidRDefault="001A3129" w:rsidP="001A3129">
      <w:pPr>
        <w:numPr>
          <w:ilvl w:val="0"/>
          <w:numId w:val="2"/>
        </w:numPr>
        <w:rPr>
          <w:noProof/>
        </w:rPr>
      </w:pPr>
      <w:r w:rsidRPr="001A3129">
        <w:rPr>
          <w:b/>
          <w:bCs/>
          <w:noProof/>
        </w:rPr>
        <w:t>President (2024):</w:t>
      </w:r>
      <w:r w:rsidRPr="001A3129">
        <w:rPr>
          <w:noProof/>
        </w:rPr>
        <w:t xml:space="preserve"> David Haggerty</w:t>
      </w:r>
    </w:p>
    <w:p w14:paraId="25E898C6" w14:textId="77777777" w:rsidR="001A3129" w:rsidRPr="001A3129" w:rsidRDefault="001A3129" w:rsidP="001A3129">
      <w:pPr>
        <w:numPr>
          <w:ilvl w:val="0"/>
          <w:numId w:val="2"/>
        </w:numPr>
        <w:rPr>
          <w:noProof/>
        </w:rPr>
      </w:pPr>
      <w:r w:rsidRPr="001A3129">
        <w:rPr>
          <w:b/>
          <w:bCs/>
          <w:noProof/>
        </w:rPr>
        <w:t>Major Events:</w:t>
      </w:r>
      <w:r w:rsidRPr="001A3129">
        <w:rPr>
          <w:noProof/>
        </w:rPr>
        <w:t xml:space="preserve"> Davis Cup, Billie Jean King Cup, Olympic tennis coordination</w:t>
      </w:r>
    </w:p>
    <w:p w14:paraId="6739B96C" w14:textId="77777777" w:rsidR="001A3129" w:rsidRPr="001A3129" w:rsidRDefault="001A3129" w:rsidP="001A3129">
      <w:pPr>
        <w:rPr>
          <w:b/>
          <w:bCs/>
          <w:noProof/>
        </w:rPr>
      </w:pPr>
      <w:r w:rsidRPr="001A3129">
        <w:rPr>
          <w:b/>
          <w:bCs/>
          <w:noProof/>
        </w:rPr>
        <w:t>Governance and structure</w:t>
      </w:r>
    </w:p>
    <w:p w14:paraId="2C8B47BE" w14:textId="77777777" w:rsidR="001A3129" w:rsidRPr="001A3129" w:rsidRDefault="001A3129" w:rsidP="001A3129">
      <w:pPr>
        <w:rPr>
          <w:noProof/>
        </w:rPr>
      </w:pPr>
      <w:r w:rsidRPr="001A3129">
        <w:rPr>
          <w:noProof/>
        </w:rPr>
        <w:t>The ITF is composed of national tennis associations that represent their respective countries. Its governance includes an elected president, a board of directors, and committees overseeing areas such as junior tennis, wheelchair tennis, and officiating. The federation sets the official Rules of Tennis, ensuring consistency across all levels of play.</w:t>
      </w:r>
    </w:p>
    <w:p w14:paraId="764BFFE3" w14:textId="77777777" w:rsidR="001A3129" w:rsidRPr="001A3129" w:rsidRDefault="001A3129" w:rsidP="001A3129">
      <w:pPr>
        <w:rPr>
          <w:b/>
          <w:bCs/>
          <w:noProof/>
        </w:rPr>
      </w:pPr>
      <w:r w:rsidRPr="001A3129">
        <w:rPr>
          <w:b/>
          <w:bCs/>
          <w:noProof/>
        </w:rPr>
        <w:t>Major tournaments and roles</w:t>
      </w:r>
    </w:p>
    <w:p w14:paraId="5CA4ACB0" w14:textId="77777777" w:rsidR="001A3129" w:rsidRPr="001A3129" w:rsidRDefault="001A3129" w:rsidP="001A3129">
      <w:pPr>
        <w:rPr>
          <w:noProof/>
        </w:rPr>
      </w:pPr>
      <w:r w:rsidRPr="001A3129">
        <w:rPr>
          <w:noProof/>
        </w:rPr>
        <w:lastRenderedPageBreak/>
        <w:t xml:space="preserve">The ITF organizes and sanctions key international team competitions—the </w:t>
      </w:r>
      <w:r w:rsidRPr="001A3129">
        <w:rPr>
          <w:b/>
          <w:bCs/>
          <w:noProof/>
        </w:rPr>
        <w:t>Davis Cup</w:t>
      </w:r>
      <w:r w:rsidRPr="001A3129">
        <w:rPr>
          <w:noProof/>
        </w:rPr>
        <w:t xml:space="preserve">, </w:t>
      </w:r>
      <w:r w:rsidRPr="001A3129">
        <w:rPr>
          <w:b/>
          <w:bCs/>
          <w:noProof/>
        </w:rPr>
        <w:t>Billie Jean King Cup</w:t>
      </w:r>
      <w:r w:rsidRPr="001A3129">
        <w:rPr>
          <w:noProof/>
        </w:rPr>
        <w:t xml:space="preserve">, and </w:t>
      </w:r>
      <w:r w:rsidRPr="001A3129">
        <w:rPr>
          <w:b/>
          <w:bCs/>
          <w:noProof/>
        </w:rPr>
        <w:t>Hopman Cup</w:t>
      </w:r>
      <w:r w:rsidRPr="001A3129">
        <w:rPr>
          <w:noProof/>
        </w:rPr>
        <w:t xml:space="preserve">—and collaborates with the </w:t>
      </w:r>
      <w:r w:rsidRPr="001A3129">
        <w:rPr>
          <w:b/>
          <w:bCs/>
          <w:noProof/>
        </w:rPr>
        <w:t>Olympic Games</w:t>
      </w:r>
      <w:r w:rsidRPr="001A3129">
        <w:rPr>
          <w:noProof/>
        </w:rPr>
        <w:t>. It also supervises the lower-tier professional circuits that feed into the ATP and WTA Tours, providing ranking points and development pathways.</w:t>
      </w:r>
    </w:p>
    <w:p w14:paraId="3481B447" w14:textId="77777777" w:rsidR="001A3129" w:rsidRPr="001A3129" w:rsidRDefault="001A3129" w:rsidP="001A3129">
      <w:pPr>
        <w:rPr>
          <w:b/>
          <w:bCs/>
          <w:noProof/>
        </w:rPr>
      </w:pPr>
      <w:r w:rsidRPr="001A3129">
        <w:rPr>
          <w:b/>
          <w:bCs/>
          <w:noProof/>
        </w:rPr>
        <w:t>Development and regulation</w:t>
      </w:r>
    </w:p>
    <w:p w14:paraId="6EEDE78C" w14:textId="77777777" w:rsidR="001A3129" w:rsidRPr="001A3129" w:rsidRDefault="001A3129" w:rsidP="001A3129">
      <w:pPr>
        <w:rPr>
          <w:noProof/>
        </w:rPr>
      </w:pPr>
      <w:r w:rsidRPr="001A3129">
        <w:rPr>
          <w:noProof/>
        </w:rPr>
        <w:t>The ITF manages programs to grow tennis globally, focusing on junior, wheelchair, and beach tennis. It regulates equipment standards, anti-doping measures, and the integrity of the sport through the Tennis Anti-Doping Program and the Tennis Integrity Unit (now part of the International Tennis Integrity Agency).</w:t>
      </w:r>
    </w:p>
    <w:p w14:paraId="37D8EB4F" w14:textId="77777777" w:rsidR="001A3129" w:rsidRPr="001A3129" w:rsidRDefault="001A3129" w:rsidP="001A3129">
      <w:pPr>
        <w:rPr>
          <w:b/>
          <w:bCs/>
          <w:noProof/>
        </w:rPr>
      </w:pPr>
      <w:r w:rsidRPr="001A3129">
        <w:rPr>
          <w:b/>
          <w:bCs/>
          <w:noProof/>
        </w:rPr>
        <w:t>Global impact</w:t>
      </w:r>
    </w:p>
    <w:p w14:paraId="17C7FC82" w14:textId="77777777" w:rsidR="001A3129" w:rsidRPr="001A3129" w:rsidRDefault="001A3129" w:rsidP="001A3129">
      <w:pPr>
        <w:rPr>
          <w:noProof/>
        </w:rPr>
      </w:pPr>
      <w:r w:rsidRPr="001A3129">
        <w:rPr>
          <w:noProof/>
        </w:rPr>
        <w:t>As the sport’s governing authority, the ITF plays a central role in maintaining tennis’s global structure and heritage, balancing elite competition with accessibility and development across continents.</w:t>
      </w:r>
    </w:p>
    <w:p w14:paraId="089C197A" w14:textId="71EC404A" w:rsidR="00403D79" w:rsidRPr="001A3129" w:rsidRDefault="00403D79" w:rsidP="001A3129">
      <w:pPr>
        <w:rPr>
          <w:rFonts w:hint="cs"/>
        </w:rPr>
      </w:pPr>
    </w:p>
    <w:sectPr w:rsidR="00403D79" w:rsidRPr="001A3129" w:rsidSect="008B49FA">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A3A68"/>
    <w:multiLevelType w:val="multilevel"/>
    <w:tmpl w:val="C5D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0D4642"/>
    <w:multiLevelType w:val="multilevel"/>
    <w:tmpl w:val="1E9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674595">
    <w:abstractNumId w:val="1"/>
  </w:num>
  <w:num w:numId="2" w16cid:durableId="1986546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D79"/>
    <w:rsid w:val="001A3129"/>
    <w:rsid w:val="00377D51"/>
    <w:rsid w:val="003836B5"/>
    <w:rsid w:val="00403D79"/>
    <w:rsid w:val="008B49FA"/>
    <w:rsid w:val="00D844E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3879"/>
  <w15:chartTrackingRefBased/>
  <w15:docId w15:val="{6AE09E14-D580-4B1C-B2B2-448509B17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03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D79"/>
    <w:rPr>
      <w:rFonts w:eastAsiaTheme="majorEastAsia" w:cstheme="majorBidi"/>
      <w:color w:val="272727" w:themeColor="text1" w:themeTint="D8"/>
    </w:rPr>
  </w:style>
  <w:style w:type="paragraph" w:styleId="Title">
    <w:name w:val="Title"/>
    <w:basedOn w:val="Normal"/>
    <w:next w:val="Normal"/>
    <w:link w:val="TitleChar"/>
    <w:uiPriority w:val="10"/>
    <w:qFormat/>
    <w:rsid w:val="00403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D79"/>
    <w:pPr>
      <w:spacing w:before="160"/>
      <w:jc w:val="center"/>
    </w:pPr>
    <w:rPr>
      <w:i/>
      <w:iCs/>
      <w:color w:val="404040" w:themeColor="text1" w:themeTint="BF"/>
    </w:rPr>
  </w:style>
  <w:style w:type="character" w:customStyle="1" w:styleId="QuoteChar">
    <w:name w:val="Quote Char"/>
    <w:basedOn w:val="DefaultParagraphFont"/>
    <w:link w:val="Quote"/>
    <w:uiPriority w:val="29"/>
    <w:rsid w:val="00403D79"/>
    <w:rPr>
      <w:i/>
      <w:iCs/>
      <w:color w:val="404040" w:themeColor="text1" w:themeTint="BF"/>
    </w:rPr>
  </w:style>
  <w:style w:type="paragraph" w:styleId="ListParagraph">
    <w:name w:val="List Paragraph"/>
    <w:basedOn w:val="Normal"/>
    <w:uiPriority w:val="34"/>
    <w:qFormat/>
    <w:rsid w:val="00403D79"/>
    <w:pPr>
      <w:ind w:left="720"/>
      <w:contextualSpacing/>
    </w:pPr>
  </w:style>
  <w:style w:type="character" w:styleId="IntenseEmphasis">
    <w:name w:val="Intense Emphasis"/>
    <w:basedOn w:val="DefaultParagraphFont"/>
    <w:uiPriority w:val="21"/>
    <w:qFormat/>
    <w:rsid w:val="00403D79"/>
    <w:rPr>
      <w:i/>
      <w:iCs/>
      <w:color w:val="2F5496" w:themeColor="accent1" w:themeShade="BF"/>
    </w:rPr>
  </w:style>
  <w:style w:type="paragraph" w:styleId="IntenseQuote">
    <w:name w:val="Intense Quote"/>
    <w:basedOn w:val="Normal"/>
    <w:next w:val="Normal"/>
    <w:link w:val="IntenseQuoteChar"/>
    <w:uiPriority w:val="30"/>
    <w:qFormat/>
    <w:rsid w:val="00403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D79"/>
    <w:rPr>
      <w:i/>
      <w:iCs/>
      <w:color w:val="2F5496" w:themeColor="accent1" w:themeShade="BF"/>
    </w:rPr>
  </w:style>
  <w:style w:type="character" w:styleId="IntenseReference">
    <w:name w:val="Intense Reference"/>
    <w:basedOn w:val="DefaultParagraphFont"/>
    <w:uiPriority w:val="32"/>
    <w:qFormat/>
    <w:rsid w:val="00403D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42733">
      <w:bodyDiv w:val="1"/>
      <w:marLeft w:val="0"/>
      <w:marRight w:val="0"/>
      <w:marTop w:val="0"/>
      <w:marBottom w:val="0"/>
      <w:divBdr>
        <w:top w:val="none" w:sz="0" w:space="0" w:color="auto"/>
        <w:left w:val="none" w:sz="0" w:space="0" w:color="auto"/>
        <w:bottom w:val="none" w:sz="0" w:space="0" w:color="auto"/>
        <w:right w:val="none" w:sz="0" w:space="0" w:color="auto"/>
      </w:divBdr>
    </w:div>
    <w:div w:id="350880575">
      <w:bodyDiv w:val="1"/>
      <w:marLeft w:val="0"/>
      <w:marRight w:val="0"/>
      <w:marTop w:val="0"/>
      <w:marBottom w:val="0"/>
      <w:divBdr>
        <w:top w:val="none" w:sz="0" w:space="0" w:color="auto"/>
        <w:left w:val="none" w:sz="0" w:space="0" w:color="auto"/>
        <w:bottom w:val="none" w:sz="0" w:space="0" w:color="auto"/>
        <w:right w:val="none" w:sz="0" w:space="0" w:color="auto"/>
      </w:divBdr>
    </w:div>
    <w:div w:id="608048777">
      <w:bodyDiv w:val="1"/>
      <w:marLeft w:val="0"/>
      <w:marRight w:val="0"/>
      <w:marTop w:val="0"/>
      <w:marBottom w:val="0"/>
      <w:divBdr>
        <w:top w:val="none" w:sz="0" w:space="0" w:color="auto"/>
        <w:left w:val="none" w:sz="0" w:space="0" w:color="auto"/>
        <w:bottom w:val="none" w:sz="0" w:space="0" w:color="auto"/>
        <w:right w:val="none" w:sz="0" w:space="0" w:color="auto"/>
      </w:divBdr>
    </w:div>
    <w:div w:id="98431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2026-05-08T06:49:00Z</dcterms:created>
  <dcterms:modified xsi:type="dcterms:W3CDTF">2026-05-08T07:38:00Z</dcterms:modified>
</cp:coreProperties>
</file>