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drawing>
          <wp:inline distB="0" distT="0" distL="0" distR="0">
            <wp:extent cx="3810000" cy="1028700"/>
            <wp:effectExtent b="0" l="0" r="0" t="0"/>
            <wp:docPr descr="East West University logo" id="1" name="image1.png"/>
            <a:graphic>
              <a:graphicData uri="http://schemas.openxmlformats.org/drawingml/2006/picture">
                <pic:pic>
                  <pic:nvPicPr>
                    <pic:cNvPr descr="East West University logo" id="0" name="image1.png"/>
                    <pic:cNvPicPr preferRelativeResize="0"/>
                  </pic:nvPicPr>
                  <pic:blipFill>
                    <a:blip r:embed="rId6"/>
                    <a:srcRect b="0" l="0" r="0" t="0"/>
                    <a:stretch>
                      <a:fillRect/>
                    </a:stretch>
                  </pic:blipFill>
                  <pic:spPr>
                    <a:xfrm>
                      <a:off x="0" y="0"/>
                      <a:ext cx="38100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1f3a7a" w:space="1" w:sz="12" w:val="single"/>
        </w:pBdr>
        <w:spacing w:after="300" w:before="0" w:lineRule="auto"/>
        <w:rPr/>
      </w:pPr>
      <w:r w:rsidDel="00000000" w:rsidR="00000000" w:rsidRPr="00000000">
        <w:rPr>
          <w:rtl w:val="0"/>
        </w:rPr>
      </w:r>
    </w:p>
    <w:p w:rsidR="00000000" w:rsidDel="00000000" w:rsidP="00000000" w:rsidRDefault="00000000" w:rsidRPr="00000000" w14:paraId="00000003">
      <w:pPr>
        <w:spacing w:after="500" w:before="0" w:lineRule="auto"/>
        <w:jc w:val="center"/>
        <w:rPr/>
      </w:pPr>
      <w:r w:rsidDel="00000000" w:rsidR="00000000" w:rsidRPr="00000000">
        <w:rPr>
          <w:rFonts w:ascii="Times New Roman" w:cs="Times New Roman" w:eastAsia="Times New Roman" w:hAnsi="Times New Roman"/>
          <w:b w:val="1"/>
          <w:bCs w:val="1"/>
          <w:color w:val="1f3a7a"/>
          <w:sz w:val="28"/>
          <w:szCs w:val="28"/>
          <w:rtl w:val="0"/>
        </w:rPr>
        <w:t xml:space="preserve">Department of</w:t>
      </w:r>
      <w:r w:rsidDel="00000000" w:rsidR="00000000" w:rsidRPr="00000000">
        <w:rPr>
          <w:b w:val="1"/>
          <w:bCs w:val="1"/>
          <w:color w:val="1f3a7a"/>
          <w:sz w:val="28"/>
          <w:szCs w:val="28"/>
          <w:rtl w:val="0"/>
        </w:rPr>
        <w:t xml:space="preserve"> Computer Science &amp; Engineering</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Times New Roman" w:cs="Times New Roman" w:eastAsia="Times New Roman" w:hAnsi="Times New Roman"/>
          <w:b w:val="1"/>
          <w:bCs w:val="1"/>
          <w:sz w:val="40"/>
          <w:szCs w:val="40"/>
          <w:rtl w:val="0"/>
        </w:rPr>
        <w:t xml:space="preserve">Assignment / Project / Report Title</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Times New Roman" w:cs="Times New Roman" w:eastAsia="Times New Roman" w:hAnsi="Times New Roman"/>
          <w:sz w:val="26"/>
          <w:szCs w:val="26"/>
          <w:rtl w:val="0"/>
        </w:rPr>
        <w:t xml:space="preserve">Course Title:</w:t>
      </w:r>
      <w:r w:rsidDel="00000000" w:rsidR="00000000" w:rsidRPr="00000000">
        <w:rPr>
          <w:sz w:val="26"/>
          <w:szCs w:val="26"/>
          <w:rtl w:val="0"/>
        </w:rPr>
        <w:t xml:space="preserve"> Machine Learning</w:t>
      </w:r>
      <w:r w:rsidDel="00000000" w:rsidR="00000000" w:rsidRPr="00000000">
        <w:rPr>
          <w:rtl w:val="0"/>
        </w:rPr>
      </w:r>
    </w:p>
    <w:p w:rsidR="00000000" w:rsidDel="00000000" w:rsidP="00000000" w:rsidRDefault="00000000" w:rsidRPr="00000000" w14:paraId="00000006">
      <w:pPr>
        <w:spacing w:after="80" w:before="0" w:lineRule="auto"/>
        <w:jc w:val="center"/>
        <w:rPr>
          <w:sz w:val="26"/>
          <w:szCs w:val="26"/>
        </w:rPr>
      </w:pPr>
      <w:r w:rsidDel="00000000" w:rsidR="00000000" w:rsidRPr="00000000">
        <w:rPr>
          <w:rFonts w:ascii="Times New Roman" w:cs="Times New Roman" w:eastAsia="Times New Roman" w:hAnsi="Times New Roman"/>
          <w:sz w:val="26"/>
          <w:szCs w:val="26"/>
          <w:rtl w:val="0"/>
        </w:rPr>
        <w:t xml:space="preserve">Course Code: </w:t>
      </w:r>
      <w:r w:rsidDel="00000000" w:rsidR="00000000" w:rsidRPr="00000000">
        <w:rPr>
          <w:sz w:val="26"/>
          <w:szCs w:val="26"/>
          <w:rtl w:val="0"/>
        </w:rPr>
        <w:t xml:space="preserve">CSE475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Times New Roman" w:cs="Times New Roman" w:eastAsia="Times New Roman" w:hAnsi="Times New Roman"/>
          <w:sz w:val="26"/>
          <w:szCs w:val="26"/>
          <w:rtl w:val="0"/>
        </w:rPr>
        <w:t xml:space="preserve">Section: </w:t>
      </w:r>
      <w:r w:rsidDel="00000000" w:rsidR="00000000" w:rsidRPr="00000000">
        <w:rPr>
          <w:sz w:val="26"/>
          <w:szCs w:val="26"/>
          <w:rtl w:val="0"/>
        </w:rPr>
        <w:t xml:space="preserve">01</w:t>
      </w:r>
      <w:r w:rsidDel="00000000" w:rsidR="00000000" w:rsidRPr="00000000">
        <w:rPr>
          <w:rtl w:val="0"/>
        </w:rPr>
      </w:r>
    </w:p>
    <w:p w:rsidR="00000000" w:rsidDel="00000000" w:rsidP="00000000" w:rsidRDefault="00000000" w:rsidRPr="00000000" w14:paraId="00000008">
      <w:pPr>
        <w:spacing w:after="500" w:before="0" w:lineRule="auto"/>
        <w:jc w:val="center"/>
        <w:rPr/>
      </w:pPr>
      <w:r w:rsidDel="00000000" w:rsidR="00000000" w:rsidRPr="00000000">
        <w:rPr>
          <w:rFonts w:ascii="Times New Roman" w:cs="Times New Roman" w:eastAsia="Times New Roman" w:hAnsi="Times New Roman"/>
          <w:sz w:val="26"/>
          <w:szCs w:val="26"/>
          <w:rtl w:val="0"/>
        </w:rPr>
        <w:t xml:space="preserve">Semester: </w:t>
      </w:r>
      <w:r w:rsidDel="00000000" w:rsidR="00000000" w:rsidRPr="00000000">
        <w:rPr>
          <w:sz w:val="26"/>
          <w:szCs w:val="26"/>
          <w:rtl w:val="0"/>
        </w:rPr>
        <w:t xml:space="preserve">Fall’26</w:t>
      </w:r>
      <w:r w:rsidDel="00000000" w:rsidR="00000000" w:rsidRPr="00000000">
        <w:rPr>
          <w:rtl w:val="0"/>
        </w:rPr>
      </w:r>
    </w:p>
    <w:p w:rsidR="00000000" w:rsidDel="00000000" w:rsidP="00000000" w:rsidRDefault="00000000" w:rsidRPr="00000000" w14:paraId="00000009">
      <w:pPr>
        <w:spacing w:after="120" w:before="0" w:lineRule="auto"/>
        <w:jc w:val="center"/>
        <w:rPr/>
      </w:pPr>
      <w:r w:rsidDel="00000000" w:rsidR="00000000" w:rsidRPr="00000000">
        <w:rPr>
          <w:rFonts w:ascii="Times New Roman" w:cs="Times New Roman" w:eastAsia="Times New Roman" w:hAnsi="Times New Roman"/>
          <w:b w:val="1"/>
          <w:bCs w:val="1"/>
          <w:color w:val="1f3a7a"/>
          <w:sz w:val="28"/>
          <w:szCs w:val="28"/>
          <w:rtl w:val="0"/>
        </w:rPr>
        <w:t xml:space="preserve">Submitted To</w:t>
      </w: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b w:val="1"/>
          <w:bCs w:val="1"/>
          <w:sz w:val="26"/>
          <w:szCs w:val="26"/>
          <w:rtl w:val="0"/>
        </w:rPr>
        <w:t xml:space="preserve">Dr. Raihan Ul Islam</w:t>
      </w:r>
      <w:r w:rsidDel="00000000" w:rsidR="00000000" w:rsidRPr="00000000">
        <w:rPr>
          <w:rtl w:val="0"/>
        </w:rPr>
      </w:r>
    </w:p>
    <w:p w:rsidR="00000000" w:rsidDel="00000000" w:rsidP="00000000" w:rsidRDefault="00000000" w:rsidRPr="00000000" w14:paraId="0000000B">
      <w:pPr>
        <w:spacing w:after="40" w:before="0" w:lineRule="auto"/>
        <w:jc w:val="center"/>
        <w:rPr/>
      </w:pPr>
      <w:r w:rsidDel="00000000" w:rsidR="00000000" w:rsidRPr="00000000">
        <w:rPr>
          <w:sz w:val="24"/>
          <w:szCs w:val="24"/>
          <w:rtl w:val="0"/>
        </w:rPr>
        <w:t xml:space="preserve">Associate Professor</w:t>
      </w:r>
      <w:r w:rsidDel="00000000" w:rsidR="00000000" w:rsidRPr="00000000">
        <w:rPr>
          <w:rtl w:val="0"/>
        </w:rPr>
      </w:r>
    </w:p>
    <w:p w:rsidR="00000000" w:rsidDel="00000000" w:rsidP="00000000" w:rsidRDefault="00000000" w:rsidRPr="00000000" w14:paraId="0000000C">
      <w:pPr>
        <w:spacing w:after="40" w:before="0" w:lineRule="auto"/>
        <w:jc w:val="center"/>
        <w:rPr/>
      </w:pPr>
      <w:r w:rsidDel="00000000" w:rsidR="00000000" w:rsidRPr="00000000">
        <w:rPr>
          <w:rFonts w:ascii="Times New Roman" w:cs="Times New Roman" w:eastAsia="Times New Roman" w:hAnsi="Times New Roman"/>
          <w:sz w:val="24"/>
          <w:szCs w:val="24"/>
          <w:rtl w:val="0"/>
        </w:rPr>
        <w:t xml:space="preserve">Department of</w:t>
      </w:r>
      <w:r w:rsidDel="00000000" w:rsidR="00000000" w:rsidRPr="00000000">
        <w:rPr>
          <w:sz w:val="24"/>
          <w:szCs w:val="24"/>
          <w:rtl w:val="0"/>
        </w:rPr>
        <w:t xml:space="preserve"> Computer Science &amp; Engineering</w:t>
      </w:r>
      <w:r w:rsidDel="00000000" w:rsidR="00000000" w:rsidRPr="00000000">
        <w:rPr>
          <w:rtl w:val="0"/>
        </w:rPr>
      </w:r>
    </w:p>
    <w:p w:rsidR="00000000" w:rsidDel="00000000" w:rsidP="00000000" w:rsidRDefault="00000000" w:rsidRPr="00000000" w14:paraId="0000000D">
      <w:pPr>
        <w:spacing w:after="500" w:before="0" w:lineRule="auto"/>
        <w:jc w:val="center"/>
        <w:rPr/>
      </w:pPr>
      <w:r w:rsidDel="00000000" w:rsidR="00000000" w:rsidRPr="00000000">
        <w:rPr>
          <w:rFonts w:ascii="Times New Roman" w:cs="Times New Roman" w:eastAsia="Times New Roman" w:hAnsi="Times New Roman"/>
          <w:sz w:val="24"/>
          <w:szCs w:val="24"/>
          <w:rtl w:val="0"/>
        </w:rPr>
        <w:t xml:space="preserve">East West University</w:t>
      </w:r>
      <w:r w:rsidDel="00000000" w:rsidR="00000000" w:rsidRPr="00000000">
        <w:rPr>
          <w:rtl w:val="0"/>
        </w:rPr>
      </w:r>
    </w:p>
    <w:p w:rsidR="00000000" w:rsidDel="00000000" w:rsidP="00000000" w:rsidRDefault="00000000" w:rsidRPr="00000000" w14:paraId="0000000E">
      <w:pPr>
        <w:spacing w:after="160" w:before="0" w:lineRule="auto"/>
        <w:jc w:val="center"/>
        <w:rPr/>
      </w:pPr>
      <w:r w:rsidDel="00000000" w:rsidR="00000000" w:rsidRPr="00000000">
        <w:rPr>
          <w:rFonts w:ascii="Times New Roman" w:cs="Times New Roman" w:eastAsia="Times New Roman" w:hAnsi="Times New Roman"/>
          <w:b w:val="1"/>
          <w:bCs w:val="1"/>
          <w:color w:val="1f3a7a"/>
          <w:sz w:val="28"/>
          <w:szCs w:val="28"/>
          <w:rtl w:val="0"/>
        </w:rPr>
        <w:t xml:space="preserve">Submitted By</w:t>
      </w:r>
      <w:r w:rsidDel="00000000" w:rsidR="00000000" w:rsidRPr="00000000">
        <w:rPr>
          <w:rtl w:val="0"/>
        </w:rPr>
      </w:r>
    </w:p>
    <w:tbl>
      <w:tblPr>
        <w:tblStyle w:val="Table1"/>
        <w:tblW w:w="8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300"/>
        <w:gridCol w:w="3000"/>
        <w:tblGridChange w:id="0">
          <w:tblGrid>
            <w:gridCol w:w="700"/>
            <w:gridCol w:w="4300"/>
            <w:gridCol w:w="3000"/>
          </w:tblGrid>
        </w:tblGridChange>
      </w:tblGrid>
      <w:tr>
        <w:trPr>
          <w:cantSplit w:val="0"/>
          <w:tblHeader w:val="0"/>
        </w:trPr>
        <w:tc>
          <w:tcPr>
            <w:tcBorders>
              <w:top w:color="1f3a7a" w:space="0" w:sz="6" w:val="single"/>
              <w:left w:color="1f3a7a" w:space="0" w:sz="6" w:val="single"/>
              <w:bottom w:color="1f3a7a" w:space="0" w:sz="6" w:val="single"/>
              <w:right w:color="1f3a7a" w:space="0" w:sz="6" w:val="single"/>
            </w:tcBorders>
            <w:shd w:fill="1f3a7a" w:val="clear"/>
            <w:tcMar>
              <w:top w:w="110.0" w:type="dxa"/>
              <w:left w:w="140.0" w:type="dxa"/>
              <w:bottom w:w="110.0" w:type="dxa"/>
              <w:right w:w="140.0" w:type="dxa"/>
            </w:tcMar>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1f3a7a" w:space="0" w:sz="6" w:val="single"/>
              <w:left w:color="1f3a7a" w:space="0" w:sz="6" w:val="single"/>
              <w:bottom w:color="1f3a7a" w:space="0" w:sz="6" w:val="single"/>
              <w:right w:color="1f3a7a" w:space="0" w:sz="6" w:val="single"/>
            </w:tcBorders>
            <w:shd w:fill="1f3a7a" w:val="clear"/>
            <w:tcMar>
              <w:top w:w="110.0" w:type="dxa"/>
              <w:left w:w="140.0" w:type="dxa"/>
              <w:bottom w:w="110.0" w:type="dxa"/>
              <w:right w:w="140.0" w:type="dxa"/>
            </w:tcMar>
          </w:tcPr>
          <w:p w:rsidR="00000000" w:rsidDel="00000000" w:rsidP="00000000" w:rsidRDefault="00000000" w:rsidRPr="00000000" w14:paraId="00000010">
            <w:pPr>
              <w:jc w:val="left"/>
              <w:rPr/>
            </w:pPr>
            <w:r w:rsidDel="00000000" w:rsidR="00000000" w:rsidRPr="00000000">
              <w:rPr>
                <w:rFonts w:ascii="Times New Roman" w:cs="Times New Roman" w:eastAsia="Times New Roman" w:hAnsi="Times New Roman"/>
                <w:b w:val="1"/>
                <w:bCs w:val="1"/>
                <w:color w:val="ffffff"/>
                <w:sz w:val="24"/>
                <w:szCs w:val="24"/>
                <w:rtl w:val="0"/>
              </w:rPr>
              <w:t xml:space="preserve">Name</w:t>
            </w:r>
            <w:r w:rsidDel="00000000" w:rsidR="00000000" w:rsidRPr="00000000">
              <w:rPr>
                <w:rtl w:val="0"/>
              </w:rPr>
            </w:r>
          </w:p>
        </w:tc>
        <w:tc>
          <w:tcPr>
            <w:tcBorders>
              <w:top w:color="1f3a7a" w:space="0" w:sz="6" w:val="single"/>
              <w:left w:color="1f3a7a" w:space="0" w:sz="6" w:val="single"/>
              <w:bottom w:color="1f3a7a" w:space="0" w:sz="6" w:val="single"/>
              <w:right w:color="1f3a7a" w:space="0" w:sz="6" w:val="single"/>
            </w:tcBorders>
            <w:shd w:fill="1f3a7a" w:val="clear"/>
            <w:tcMar>
              <w:top w:w="110.0" w:type="dxa"/>
              <w:left w:w="140.0" w:type="dxa"/>
              <w:bottom w:w="110.0" w:type="dxa"/>
              <w:right w:w="140.0" w:type="dxa"/>
            </w:tcMar>
          </w:tcPr>
          <w:p w:rsidR="00000000" w:rsidDel="00000000" w:rsidP="00000000" w:rsidRDefault="00000000" w:rsidRPr="00000000" w14:paraId="00000011">
            <w:pPr>
              <w:jc w:val="left"/>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r>
      <w:tr>
        <w:trPr>
          <w:cantSplit w:val="0"/>
          <w:tblHeader w:val="0"/>
        </w:trPr>
        <w:tc>
          <w:tcPr>
            <w:tcBorders>
              <w:top w:color="1f3a7a" w:space="0" w:sz="6" w:val="single"/>
              <w:left w:color="1f3a7a" w:space="0" w:sz="6" w:val="single"/>
              <w:bottom w:color="1f3a7a" w:space="0" w:sz="6" w:val="single"/>
              <w:right w:color="1f3a7a" w:space="0" w:sz="6" w:val="single"/>
            </w:tcBorders>
            <w:tcMar>
              <w:top w:w="110.0" w:type="dxa"/>
              <w:left w:w="140.0" w:type="dxa"/>
              <w:bottom w:w="110.0" w:type="dxa"/>
              <w:right w:w="140.0" w:type="dxa"/>
            </w:tcMar>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1f3a7a" w:space="0" w:sz="6" w:val="single"/>
              <w:left w:color="1f3a7a" w:space="0" w:sz="6" w:val="single"/>
              <w:bottom w:color="1f3a7a" w:space="0" w:sz="6" w:val="single"/>
              <w:right w:color="1f3a7a" w:space="0" w:sz="6" w:val="single"/>
            </w:tcBorders>
            <w:tcMar>
              <w:top w:w="110.0" w:type="dxa"/>
              <w:left w:w="140.0" w:type="dxa"/>
              <w:bottom w:w="110.0" w:type="dxa"/>
              <w:right w:w="140.0" w:type="dxa"/>
            </w:tcMar>
          </w:tcPr>
          <w:p w:rsidR="00000000" w:rsidDel="00000000" w:rsidP="00000000" w:rsidRDefault="00000000" w:rsidRPr="00000000" w14:paraId="00000013">
            <w:pPr>
              <w:jc w:val="left"/>
              <w:rPr/>
            </w:pPr>
            <w:r w:rsidDel="00000000" w:rsidR="00000000" w:rsidRPr="00000000">
              <w:rPr>
                <w:sz w:val="24"/>
                <w:szCs w:val="24"/>
                <w:rtl w:val="0"/>
              </w:rPr>
              <w:t xml:space="preserve">Md.F.K.Murad</w:t>
            </w:r>
            <w:r w:rsidDel="00000000" w:rsidR="00000000" w:rsidRPr="00000000">
              <w:rPr>
                <w:rtl w:val="0"/>
              </w:rPr>
            </w:r>
          </w:p>
        </w:tc>
        <w:tc>
          <w:tcPr>
            <w:tcBorders>
              <w:top w:color="1f3a7a" w:space="0" w:sz="6" w:val="single"/>
              <w:left w:color="1f3a7a" w:space="0" w:sz="6" w:val="single"/>
              <w:bottom w:color="1f3a7a" w:space="0" w:sz="6" w:val="single"/>
              <w:right w:color="1f3a7a" w:space="0" w:sz="6" w:val="single"/>
            </w:tcBorders>
            <w:tcMar>
              <w:top w:w="110.0" w:type="dxa"/>
              <w:left w:w="140.0" w:type="dxa"/>
              <w:bottom w:w="110.0" w:type="dxa"/>
              <w:right w:w="140.0" w:type="dxa"/>
            </w:tcMar>
          </w:tcPr>
          <w:p w:rsidR="00000000" w:rsidDel="00000000" w:rsidP="00000000" w:rsidRDefault="00000000" w:rsidRPr="00000000" w14:paraId="00000014">
            <w:pPr>
              <w:jc w:val="left"/>
              <w:rPr/>
            </w:pPr>
            <w:r w:rsidDel="00000000" w:rsidR="00000000" w:rsidRPr="00000000">
              <w:rPr>
                <w:sz w:val="24"/>
                <w:szCs w:val="24"/>
                <w:rtl w:val="0"/>
              </w:rPr>
              <w:t xml:space="preserve">2023-1-60-023</w:t>
            </w:r>
            <w:r w:rsidDel="00000000" w:rsidR="00000000" w:rsidRPr="00000000">
              <w:rPr>
                <w:rtl w:val="0"/>
              </w:rPr>
            </w:r>
          </w:p>
        </w:tc>
      </w:tr>
      <w:tr>
        <w:trPr>
          <w:cantSplit w:val="0"/>
          <w:tblHeader w:val="0"/>
        </w:trPr>
        <w:tc>
          <w:tcPr>
            <w:tcBorders>
              <w:top w:color="1f3a7a" w:space="0" w:sz="6" w:val="single"/>
              <w:left w:color="1f3a7a" w:space="0" w:sz="6" w:val="single"/>
              <w:bottom w:color="1f3a7a" w:space="0" w:sz="6" w:val="single"/>
              <w:right w:color="1f3a7a" w:space="0" w:sz="6" w:val="single"/>
            </w:tcBorders>
            <w:tcMar>
              <w:top w:w="110.0" w:type="dxa"/>
              <w:left w:w="140.0" w:type="dxa"/>
              <w:bottom w:w="110.0" w:type="dxa"/>
              <w:right w:w="140.0" w:type="dxa"/>
            </w:tcMar>
          </w:tcPr>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1f3a7a" w:space="0" w:sz="6" w:val="single"/>
              <w:left w:color="1f3a7a" w:space="0" w:sz="6" w:val="single"/>
              <w:bottom w:color="1f3a7a" w:space="0" w:sz="6" w:val="single"/>
              <w:right w:color="1f3a7a" w:space="0" w:sz="6" w:val="single"/>
            </w:tcBorders>
            <w:tcMar>
              <w:top w:w="110.0" w:type="dxa"/>
              <w:left w:w="140.0" w:type="dxa"/>
              <w:bottom w:w="110.0" w:type="dxa"/>
              <w:right w:w="140.0" w:type="dxa"/>
            </w:tcMar>
          </w:tcPr>
          <w:p w:rsidR="00000000" w:rsidDel="00000000" w:rsidP="00000000" w:rsidRDefault="00000000" w:rsidRPr="00000000" w14:paraId="00000016">
            <w:pPr>
              <w:jc w:val="left"/>
              <w:rPr/>
            </w:pPr>
            <w:r w:rsidDel="00000000" w:rsidR="00000000" w:rsidRPr="00000000">
              <w:rPr>
                <w:sz w:val="24"/>
                <w:szCs w:val="24"/>
                <w:rtl w:val="0"/>
              </w:rPr>
              <w:t xml:space="preserve">Jalal Uddin Mohammad Rumi</w:t>
            </w:r>
            <w:r w:rsidDel="00000000" w:rsidR="00000000" w:rsidRPr="00000000">
              <w:rPr>
                <w:rtl w:val="0"/>
              </w:rPr>
            </w:r>
          </w:p>
        </w:tc>
        <w:tc>
          <w:tcPr>
            <w:tcBorders>
              <w:top w:color="1f3a7a" w:space="0" w:sz="6" w:val="single"/>
              <w:left w:color="1f3a7a" w:space="0" w:sz="6" w:val="single"/>
              <w:bottom w:color="1f3a7a" w:space="0" w:sz="6" w:val="single"/>
              <w:right w:color="1f3a7a" w:space="0" w:sz="6" w:val="single"/>
            </w:tcBorders>
            <w:tcMar>
              <w:top w:w="110.0" w:type="dxa"/>
              <w:left w:w="140.0" w:type="dxa"/>
              <w:bottom w:w="110.0" w:type="dxa"/>
              <w:right w:w="140.0" w:type="dxa"/>
            </w:tcMar>
          </w:tcPr>
          <w:p w:rsidR="00000000" w:rsidDel="00000000" w:rsidP="00000000" w:rsidRDefault="00000000" w:rsidRPr="00000000" w14:paraId="00000017">
            <w:pPr>
              <w:jc w:val="left"/>
              <w:rPr/>
            </w:pPr>
            <w:r w:rsidDel="00000000" w:rsidR="00000000" w:rsidRPr="00000000">
              <w:rPr>
                <w:sz w:val="24"/>
                <w:szCs w:val="24"/>
                <w:rtl w:val="0"/>
              </w:rPr>
              <w:t xml:space="preserve">2022-2-60-135</w:t>
            </w:r>
            <w:r w:rsidDel="00000000" w:rsidR="00000000" w:rsidRPr="00000000">
              <w:rPr>
                <w:rtl w:val="0"/>
              </w:rPr>
            </w:r>
          </w:p>
        </w:tc>
      </w:tr>
      <w:tr>
        <w:trPr>
          <w:cantSplit w:val="0"/>
          <w:tblHeader w:val="0"/>
        </w:trPr>
        <w:tc>
          <w:tcPr>
            <w:tcBorders>
              <w:top w:color="1f3a7a" w:space="0" w:sz="6" w:val="single"/>
              <w:left w:color="1f3a7a" w:space="0" w:sz="6" w:val="single"/>
              <w:bottom w:color="1f3a7a" w:space="0" w:sz="6" w:val="single"/>
              <w:right w:color="1f3a7a" w:space="0" w:sz="6" w:val="single"/>
            </w:tcBorders>
            <w:tcMar>
              <w:top w:w="110.0" w:type="dxa"/>
              <w:left w:w="140.0" w:type="dxa"/>
              <w:bottom w:w="110.0" w:type="dxa"/>
              <w:right w:w="140.0" w:type="dxa"/>
            </w:tcMar>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1f3a7a" w:space="0" w:sz="6" w:val="single"/>
              <w:left w:color="1f3a7a" w:space="0" w:sz="6" w:val="single"/>
              <w:bottom w:color="1f3a7a" w:space="0" w:sz="6" w:val="single"/>
              <w:right w:color="1f3a7a" w:space="0" w:sz="6" w:val="single"/>
            </w:tcBorders>
            <w:tcMar>
              <w:top w:w="110.0" w:type="dxa"/>
              <w:left w:w="140.0" w:type="dxa"/>
              <w:bottom w:w="110.0" w:type="dxa"/>
              <w:right w:w="140.0" w:type="dxa"/>
            </w:tcMar>
          </w:tcPr>
          <w:p w:rsidR="00000000" w:rsidDel="00000000" w:rsidP="00000000" w:rsidRDefault="00000000" w:rsidRPr="00000000" w14:paraId="00000019">
            <w:pPr>
              <w:jc w:val="left"/>
              <w:rPr/>
            </w:pPr>
            <w:r w:rsidDel="00000000" w:rsidR="00000000" w:rsidRPr="00000000">
              <w:rPr>
                <w:sz w:val="24"/>
                <w:szCs w:val="24"/>
                <w:rtl w:val="0"/>
              </w:rPr>
              <w:t xml:space="preserve">Md Julfiker Hossain</w:t>
            </w:r>
            <w:r w:rsidDel="00000000" w:rsidR="00000000" w:rsidRPr="00000000">
              <w:rPr>
                <w:rtl w:val="0"/>
              </w:rPr>
            </w:r>
          </w:p>
        </w:tc>
        <w:tc>
          <w:tcPr>
            <w:tcBorders>
              <w:top w:color="1f3a7a" w:space="0" w:sz="6" w:val="single"/>
              <w:left w:color="1f3a7a" w:space="0" w:sz="6" w:val="single"/>
              <w:bottom w:color="1f3a7a" w:space="0" w:sz="6" w:val="single"/>
              <w:right w:color="1f3a7a" w:space="0" w:sz="6" w:val="single"/>
            </w:tcBorders>
            <w:tcMar>
              <w:top w:w="110.0" w:type="dxa"/>
              <w:left w:w="140.0" w:type="dxa"/>
              <w:bottom w:w="110.0" w:type="dxa"/>
              <w:right w:w="140.0" w:type="dxa"/>
            </w:tcMar>
          </w:tcPr>
          <w:p w:rsidR="00000000" w:rsidDel="00000000" w:rsidP="00000000" w:rsidRDefault="00000000" w:rsidRPr="00000000" w14:paraId="0000001A">
            <w:pPr>
              <w:jc w:val="left"/>
              <w:rPr/>
            </w:pPr>
            <w:r w:rsidDel="00000000" w:rsidR="00000000" w:rsidRPr="00000000">
              <w:rPr>
                <w:sz w:val="24"/>
                <w:szCs w:val="24"/>
                <w:rtl w:val="0"/>
              </w:rPr>
              <w:t xml:space="preserve">2023-3-60-490</w:t>
            </w:r>
            <w:r w:rsidDel="00000000" w:rsidR="00000000" w:rsidRPr="00000000">
              <w:rPr>
                <w:rtl w:val="0"/>
              </w:rPr>
            </w:r>
          </w:p>
        </w:tc>
      </w:tr>
    </w:tbl>
    <w:p w:rsidR="00000000" w:rsidDel="00000000" w:rsidP="00000000" w:rsidRDefault="00000000" w:rsidRPr="00000000" w14:paraId="0000001B">
      <w:pPr>
        <w:spacing w:after="0" w:before="500" w:lineRule="auto"/>
        <w:jc w:val="center"/>
        <w:rPr/>
        <w:sectPr>
          <w:pgSz w:h="16838" w:w="11906" w:orient="portrait"/>
          <w:pgMar w:bottom="1200" w:top="1200" w:left="1500" w:right="1500" w:header="708" w:footer="708"/>
          <w:pgNumType w:start="1"/>
        </w:sectPr>
      </w:pPr>
      <w:r w:rsidDel="00000000" w:rsidR="00000000" w:rsidRPr="00000000">
        <w:rPr>
          <w:rFonts w:ascii="Times New Roman" w:cs="Times New Roman" w:eastAsia="Times New Roman" w:hAnsi="Times New Roman"/>
          <w:sz w:val="26"/>
          <w:szCs w:val="26"/>
          <w:rtl w:val="0"/>
        </w:rPr>
        <w:t xml:space="preserve">Date of Submission: </w:t>
      </w:r>
      <w:r w:rsidDel="00000000" w:rsidR="00000000" w:rsidRPr="00000000">
        <w:rPr>
          <w:sz w:val="26"/>
          <w:szCs w:val="26"/>
          <w:rtl w:val="0"/>
        </w:rPr>
        <w:t xml:space="preserve">16-10-2026</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b w:val="1"/>
          <w:bCs w:val="1"/>
          <w:sz w:val="30"/>
          <w:szCs w:val="30"/>
          <w:rtl w:val="0"/>
        </w:rPr>
        <w:t xml:space="preserve">Task 1 – Related-Work Table (Track 2)</w:t>
      </w: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Fonts w:ascii="Arial" w:cs="Arial" w:eastAsia="Arial" w:hAnsi="Arial"/>
          <w:i w:val="1"/>
          <w:iCs w:val="1"/>
          <w:sz w:val="18"/>
          <w:szCs w:val="18"/>
          <w:rtl w:val="0"/>
        </w:rPr>
        <w:t xml:space="preserve">Five studies on blood cell / MedMNIST classification. Track 2 columns (graph-construction method, GCN type) are marked 'not graph-based' because none of these papers uses graphs.</w:t>
      </w:r>
      <w:r w:rsidDel="00000000" w:rsidR="00000000" w:rsidRPr="00000000">
        <w:rPr>
          <w:rtl w:val="0"/>
        </w:rPr>
      </w:r>
    </w:p>
    <w:tbl>
      <w:tblPr>
        <w:tblStyle w:val="Table2"/>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050"/>
        <w:gridCol w:w="560"/>
        <w:gridCol w:w="1000"/>
        <w:gridCol w:w="1050"/>
        <w:gridCol w:w="1450"/>
        <w:gridCol w:w="1000"/>
        <w:gridCol w:w="800"/>
        <w:gridCol w:w="1100"/>
        <w:gridCol w:w="1500"/>
        <w:gridCol w:w="1500"/>
        <w:gridCol w:w="1950"/>
        <w:gridCol w:w="1578"/>
        <w:tblGridChange w:id="0">
          <w:tblGrid>
            <w:gridCol w:w="1300"/>
            <w:gridCol w:w="1050"/>
            <w:gridCol w:w="560"/>
            <w:gridCol w:w="1000"/>
            <w:gridCol w:w="1050"/>
            <w:gridCol w:w="1450"/>
            <w:gridCol w:w="1000"/>
            <w:gridCol w:w="800"/>
            <w:gridCol w:w="1100"/>
            <w:gridCol w:w="1500"/>
            <w:gridCol w:w="1500"/>
            <w:gridCol w:w="1950"/>
            <w:gridCol w:w="1578"/>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4"/>
                <w:szCs w:val="14"/>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4"/>
                <w:szCs w:val="14"/>
                <w:rtl w:val="0"/>
              </w:rPr>
              <w:t xml:space="preserve">Authors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4"/>
                <w:szCs w:val="14"/>
                <w:rtl w:val="0"/>
              </w:rPr>
              <w:t xml:space="preserve">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14"/>
                <w:szCs w:val="14"/>
                <w:rtl w:val="0"/>
              </w:rPr>
              <w:t xml:space="preserve">Dataset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4"/>
                <w:szCs w:val="14"/>
                <w:rtl w:val="0"/>
              </w:rPr>
              <w:t xml:space="preserve">Application 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14"/>
                <w:szCs w:val="14"/>
                <w:rtl w:val="0"/>
              </w:rPr>
              <w:t xml:space="preserve">Method / 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4"/>
                <w:szCs w:val="14"/>
                <w:rtl w:val="0"/>
              </w:rPr>
              <w:t xml:space="preserve">Graph-construction method (Track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4"/>
                <w:szCs w:val="14"/>
                <w:rtl w:val="0"/>
              </w:rPr>
              <w:t xml:space="preserve">GCN type (Track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4"/>
                <w:szCs w:val="14"/>
                <w:rtl w:val="0"/>
              </w:rPr>
              <w:t xml:space="preserve">Metrics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14"/>
                <w:szCs w:val="14"/>
                <w:rtl w:val="0"/>
              </w:rPr>
              <w:t xml:space="preserve">Strengths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4"/>
                <w:szCs w:val="14"/>
                <w:rtl w:val="0"/>
              </w:rPr>
              <w:t xml:space="preserve">Limitations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14"/>
                <w:szCs w:val="14"/>
                <w:rtl w:val="0"/>
              </w:rPr>
              <w:t xml:space="preserve">Research Gap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70.0" w:type="dxa"/>
              <w:bottom w:w="60.0" w:type="dxa"/>
              <w:right w:w="7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14"/>
                <w:szCs w:val="14"/>
                <w:rtl w:val="0"/>
              </w:rPr>
              <w:t xml:space="preserve">Relation to your work</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14"/>
                <w:szCs w:val="14"/>
                <w:rtl w:val="0"/>
              </w:rPr>
              <w:t xml:space="preserve">A Hybrid Classical-Quantum Convolutional Neural Network for Native-Resolution Multi-Class Blood Cell Classification on BloodMNIST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14"/>
                <w:szCs w:val="14"/>
                <w:rtl w:val="0"/>
              </w:rPr>
              <w:t xml:space="preserve">Velicheti Anatha Lakshmi, Vinod Kumar Naidu Pamuluri, Garimella Bharathi, Sugunalatha Chitturi, T Sumallika, Sailaja Vemuri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14"/>
                <w:szCs w:val="14"/>
                <w:rtl w:val="0"/>
              </w:rPr>
              <w:t xml:space="preserve">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14"/>
                <w:szCs w:val="14"/>
                <w:rtl w:val="0"/>
              </w:rPr>
              <w:t xml:space="preserve">BloodMNIST (8 classes, native 28×28)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14"/>
                <w:szCs w:val="14"/>
                <w:rtl w:val="0"/>
              </w:rPr>
              <w:t xml:space="preserve">Blood cell classification (hematology)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b w:val="0"/>
                <w:bCs w:val="0"/>
                <w:color w:val="000000"/>
                <w:sz w:val="14"/>
                <w:szCs w:val="14"/>
                <w:rtl w:val="0"/>
              </w:rPr>
              <w:t xml:space="preserve">Compact CNN feature extractor (~112K params) → PCA compression → 8-qubit variational quantum classifier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14"/>
                <w:szCs w:val="14"/>
                <w:rtl w:val="0"/>
              </w:rPr>
              <w:t xml:space="preserve">Not graph-based – no graph construction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14"/>
                <w:szCs w:val="14"/>
                <w:rtl w:val="0"/>
              </w:rPr>
              <w:t xml:space="preserve">None (CNN / hybrid model, no GCN)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14"/>
                <w:szCs w:val="14"/>
                <w:rtl w:val="0"/>
              </w:rPr>
              <w:t xml:space="preserve">Test accuracy 95.12% (classical CNN baseline 94.1%)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14"/>
                <w:szCs w:val="14"/>
                <w:rtl w:val="0"/>
              </w:rPr>
              <w:t xml:space="preserve">Works at native 28×28 with no upscaling; very small backbone; beats its own CNN baseline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14"/>
                <w:szCs w:val="14"/>
                <w:rtl w:val="0"/>
              </w:rPr>
              <w:t xml:space="preserve">Quantum layer's independent benefit not isolated; simulated quantum circuit; BloodMNIST only; reduced-data performance not examined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14"/>
                <w:szCs w:val="14"/>
                <w:rtl w:val="0"/>
              </w:rPr>
              <w:t xml:space="preserve">Introduced a native-resolution (28×28) eight-class BloodMNIST classifier combining a compact CNN feature extractor, PCA dimensionality reduction, and an 8-qubit variational quantum network. It fulfilled the requirements for automated multi-class recognition without image upscaling, lightweight feature learning, and hybrid classical–quantum integration. Achieved 95.12% test accuracy, exceeding its 94.1% classical CNN baseline.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14"/>
                <w:szCs w:val="14"/>
                <w:rtl w:val="0"/>
              </w:rPr>
              <w:t xml:space="preserve">This study provides a native-resolution BloodMNIST reference within MedMNIST: eight-class classification on 28×28 images with 95.12% test accuracy. It is relevant for comparing compact feature extractors, parameter counts and the trade-off between classification performance and computational cost if BloodMNIST is selected. Its hybrid quantum approach also offers a model-design comparison, without implying that a quantum layer is required for our work.</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14"/>
                <w:szCs w:val="14"/>
                <w:rtl w:val="0"/>
              </w:rPr>
              <w:t xml:space="preserve">MedMNIST v2: A Large-Scale Lightweight Benchmark for 2D and 3D Biomedical Image 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14"/>
                <w:szCs w:val="14"/>
                <w:rtl w:val="0"/>
              </w:rPr>
              <w:t xml:space="preserve">Jiancheng Yang, Rui Shi, Donglai Wei, Zequan Liu, Lin Zhao, Bilian Ke, Hanspeter Pfister, Bingbing 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14"/>
                <w:szCs w:val="14"/>
                <w:rtl w:val="0"/>
              </w:rPr>
              <w:t xml:space="preserve">2023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14"/>
                <w:szCs w:val="14"/>
                <w:rtl w:val="0"/>
              </w:rPr>
              <w:t xml:space="preserve">12 2D + 6 3D MedMNIST datasets (includes BloodMNIST)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14"/>
                <w:szCs w:val="14"/>
                <w:rtl w:val="0"/>
              </w:rPr>
              <w:t xml:space="preserve">General biomedical image classification benchmark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14"/>
                <w:szCs w:val="14"/>
                <w:rtl w:val="0"/>
              </w:rPr>
              <w:t xml:space="preserve">Standardized small-image datasets with fixed splits; baselines using ResNets and AutoML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00000"/>
                <w:sz w:val="14"/>
                <w:szCs w:val="14"/>
                <w:rtl w:val="0"/>
              </w:rPr>
              <w:t xml:space="preserve">Not graph-based – no graph construction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00000"/>
                <w:sz w:val="14"/>
                <w:szCs w:val="14"/>
                <w:rtl w:val="0"/>
              </w:rPr>
              <w:t xml:space="preserve">None (CNN / hybrid model, no GCN)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00000"/>
                <w:sz w:val="14"/>
                <w:szCs w:val="14"/>
                <w:rtl w:val="0"/>
              </w:rPr>
              <w:t xml:space="preserve">Accuracy and AUC (standard MedMNIST protocol)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14"/>
                <w:szCs w:val="14"/>
                <w:rtl w:val="0"/>
              </w:rPr>
              <w:t xml:space="preserve">Standardized, public, reproducible; lightweight and diverse; fixed splits allow fair comparison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00000"/>
                <w:sz w:val="14"/>
                <w:szCs w:val="14"/>
                <w:rtl w:val="0"/>
              </w:rPr>
              <w:t xml:space="preserve">Not intended for clinical use; reduced resolution may lose diagnostic detail; robustness to lab/device differences not established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14"/>
                <w:szCs w:val="14"/>
                <w:rtl w:val="0"/>
              </w:rPr>
              <w:t xml:space="preserve">Created MedMNIST v2 as a public, standardized, lightweight benchmark consisting of 12 two-dimensional and 6 three-dimensional biomedical image datasets. It fulfilled requirements for consistent 28×28 (2D) and 28×28×28 (3D) formatting, labeled tasks, predefined train/validation/test splits, reproducible evaluation, and accessible comparisons. Established ResNet and AutoML baselines using accuracy and AUC, including eight-class BloodMNIST.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14"/>
                <w:szCs w:val="14"/>
                <w:rtl w:val="0"/>
              </w:rPr>
              <w:t xml:space="preserve">This is the source benchmark for our MedMNIST-based study. It defines 12 standardized 2D and 6 standardized 3D classification datasets, official train/validation/test splits, task labels, and baseline accuracy/AUC protocols. These make it possible to select the appropriate MedMNIST subset(s), reproduce evaluation settings, and compare results fairly. MedMNIST+ additionally provides larger image-size options; the dataset is not intended for direct clinical use.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14"/>
                <w:szCs w:val="14"/>
                <w:rtl w:val="0"/>
              </w:rPr>
              <w:t xml:space="preserve">Efficient Blood Cell Classification Using a Hybrid Variational Quantum Circuit–EfficientNet Model on BloodMNIST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14"/>
                <w:szCs w:val="14"/>
                <w:rtl w:val="0"/>
              </w:rPr>
              <w:t xml:space="preserve">Eman A. Radhi, Mazin Abed Mohammed, Fatma Eid, Isabel de la Torre Díez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14"/>
                <w:szCs w:val="14"/>
                <w:rtl w:val="0"/>
              </w:rPr>
              <w:t xml:space="preserve">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14"/>
                <w:szCs w:val="14"/>
                <w:rtl w:val="0"/>
              </w:rPr>
              <w:t xml:space="preserve">BloodMNIST (8 classes)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14"/>
                <w:szCs w:val="14"/>
                <w:rtl w:val="0"/>
              </w:rPr>
              <w:t xml:space="preserve">Blood cell classification (hematology)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b w:val="0"/>
                <w:bCs w:val="0"/>
                <w:color w:val="000000"/>
                <w:sz w:val="14"/>
                <w:szCs w:val="14"/>
                <w:rtl w:val="0"/>
              </w:rPr>
              <w:t xml:space="preserve">EfficientNet-B0 → multilayer feature compression → simulated 6-qubit VQC; augmentation and class weighting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00000"/>
                <w:sz w:val="14"/>
                <w:szCs w:val="14"/>
                <w:rtl w:val="0"/>
              </w:rPr>
              <w:t xml:space="preserve">Not graph-based – no graph construction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14"/>
                <w:szCs w:val="14"/>
                <w:rtl w:val="0"/>
              </w:rPr>
              <w:t xml:space="preserve">None (CNN / hybrid model, no GCN)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14"/>
                <w:szCs w:val="14"/>
                <w:rtl w:val="0"/>
              </w:rPr>
              <w:t xml:space="preserve">Test accuracy 96.58%; class-wise evaluation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14"/>
                <w:szCs w:val="14"/>
                <w:rtl w:val="0"/>
              </w:rPr>
              <w:t xml:space="preserve">Higher accuracy than Paper 1; handles class imbalance (weighting, augmentation); class-wise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14"/>
                <w:szCs w:val="14"/>
                <w:rtl w:val="0"/>
              </w:rPr>
              <w:t xml:space="preserve">Quantum part is simulated; 28×28 images upscaled to 224×224 (extra compute, no recovered detail); BloodMNIST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14"/>
                <w:szCs w:val="14"/>
                <w:rtl w:val="0"/>
              </w:rPr>
              <w:t xml:space="preserve">Developed an eight-class BloodMNIST classifier integrating pretrained EfficientNet-B0 features, multilayer feature compression, and a simulated 6-qubit variational quantum circuit. It fulfilled requirements for hybrid classification, augmentation, class-weighted learning, and detailed class-wise evaluation. Reported 96.58% test accuracy and 96.90% validation accuracy, demonstrating competitive classification performance on the standardized benchmark.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14"/>
                <w:szCs w:val="14"/>
                <w:rtl w:val="0"/>
              </w:rPr>
              <w:t xml:space="preserve">This paper supplies a hybrid EfficientNet-B0 + simulated VQC baseline for the BloodMNIST subset of MedMNIST, with 96.58% test accuracy. Its augmentation, class weighting, and class-wise evaluation are useful comparisons if our study includes BloodMNIST. The resizing from 28×28 to 224×224 also motivates measuring how input size affects resource requirements rather than assuming upscaling restores lost detail.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14"/>
                <w:szCs w:val="14"/>
                <w:rtl w:val="0"/>
              </w:rPr>
              <w:t xml:space="preserve">Lightweight Medical Foundation Model Adapters with Probability Calibration on MedMNIST+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00000"/>
                <w:sz w:val="14"/>
                <w:szCs w:val="14"/>
                <w:rtl w:val="0"/>
              </w:rPr>
              <w:t xml:space="preserve">Aaron Jin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00000"/>
                <w:sz w:val="14"/>
                <w:szCs w:val="14"/>
                <w:rtl w:val="0"/>
              </w:rPr>
              <w:t xml:space="preserve">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14"/>
                <w:szCs w:val="14"/>
                <w:rtl w:val="0"/>
              </w:rPr>
              <w:t xml:space="preserve">BloodMNIST (28×28) from MedMNIST+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00000"/>
                <w:sz w:val="14"/>
                <w:szCs w:val="14"/>
                <w:rtl w:val="0"/>
              </w:rPr>
              <w:t xml:space="preserve">Blood cell classification with reliable confidence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14"/>
                <w:szCs w:val="14"/>
                <w:rtl w:val="0"/>
              </w:rPr>
              <w:t xml:space="preserve">Frozen foundation encoder + linear / bottleneck / low-rank adapters (best: FrozenLowRank_r8, 3,593 trainable params); temperature scaling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00000"/>
                <w:sz w:val="14"/>
                <w:szCs w:val="14"/>
                <w:rtl w:val="0"/>
              </w:rPr>
              <w:t xml:space="preserve">Not graph-based – no graph construction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14"/>
                <w:szCs w:val="14"/>
                <w:rtl w:val="0"/>
              </w:rPr>
              <w:t xml:space="preserve">None (CNN / hybrid model, no GCN)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b w:val="0"/>
                <w:bCs w:val="0"/>
                <w:color w:val="000000"/>
                <w:sz w:val="14"/>
                <w:szCs w:val="14"/>
                <w:rtl w:val="0"/>
              </w:rPr>
              <w:t xml:space="preserve">Test accuracy 95.76%; ECE 0.1043 → 0.0084; 98.57% selective accuracy on 90.06% of images (0.90 threshold)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14"/>
                <w:szCs w:val="14"/>
                <w:rtl w:val="0"/>
              </w:rPr>
              <w:t xml:space="preserve">Very few trainable parameters; well-calibrated probabilities; confidence-based rejection improves accuracy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14"/>
                <w:szCs w:val="14"/>
                <w:rtl w:val="0"/>
              </w:rPr>
              <w:t xml:space="preserve">Single 28×28 task; frozen encoder still costs full inference; thresholds not clinically validated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14"/>
                <w:szCs w:val="14"/>
                <w:rtl w:val="0"/>
              </w:rPr>
              <w:t xml:space="preserve">Evaluated lightweight frozen-encoder adaptation on eight-class BloodMNIST using linear, bottleneck, and low-rank adapters, together with temperature scaling and confidence-based rejection. It fulfilled requirements for parameter-efficient training, calibrated prediction probabilities, and reliability-focused evaluation beyond accuracy. Its best low-rank adapter trained 3,593 parameters, achieved 95.76% test accuracy, reduced ECE to 0.0084, and reached 98.57% selective accuracy at 90.06% coverage.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14"/>
                <w:szCs w:val="14"/>
                <w:rtl w:val="0"/>
              </w:rPr>
              <w:t xml:space="preserve">This work is especially relevant to reliability evaluation on MedMNIST: it uses the BloodMNIST subset with official splits, frozen/low-rank adapters, temperature scaling, and confidence-based rejection. Its accuracy, macro-F1, AUROC, ECE, and selective-accuracy measurements provide evaluation ideas that can be applied to our chosen MedMNIST classification task, beyond accuracy alone. These methods have not been shown here to generalize automatically to every MedMNIST subset.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000000"/>
                <w:sz w:val="14"/>
                <w:szCs w:val="14"/>
                <w:rtl w:val="0"/>
              </w:rPr>
              <w:t xml:space="preserve">MedNet: A Lightweight Attention-Augmented CNN for Medical Image 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000000"/>
                <w:sz w:val="14"/>
                <w:szCs w:val="14"/>
                <w:rtl w:val="0"/>
              </w:rPr>
              <w:t xml:space="preserve">Md. Ferdous, Saifuddin Mahmud, Md. Eleush Zahan Shimul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00000"/>
                <w:sz w:val="14"/>
                <w:szCs w:val="14"/>
                <w:rtl w:val="0"/>
              </w:rPr>
              <w:t xml:space="preserve">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000000"/>
                <w:sz w:val="14"/>
                <w:szCs w:val="14"/>
                <w:rtl w:val="0"/>
              </w:rPr>
              <w:t xml:space="preserve">BloodMNIST, DermaMNIST, OCTMNIST, Fitzpatrick17k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000000"/>
                <w:sz w:val="14"/>
                <w:szCs w:val="14"/>
                <w:rtl w:val="0"/>
              </w:rPr>
              <w:t xml:space="preserve">Multi-domain medical image classification (blood, skin, retina)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000000"/>
                <w:sz w:val="14"/>
                <w:szCs w:val="14"/>
                <w:rtl w:val="0"/>
              </w:rPr>
              <w:t xml:space="preserve">Depthwise separable convolutions + residual blocks + CBAM attention; Grad-CAM for interpretation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000000"/>
                <w:sz w:val="14"/>
                <w:szCs w:val="14"/>
                <w:rtl w:val="0"/>
              </w:rPr>
              <w:t xml:space="preserve">Not graph-based – no graph construction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14"/>
                <w:szCs w:val="14"/>
                <w:rtl w:val="0"/>
              </w:rPr>
              <w:t xml:space="preserve">None (CNN / hybrid model, no GCN)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000000"/>
                <w:sz w:val="14"/>
                <w:szCs w:val="14"/>
                <w:rtl w:val="0"/>
              </w:rPr>
              <w:t xml:space="preserve">Mean BloodMNIST accuracy 98.3% (384×384); efficiency; Grad-CAM; attention ablation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14"/>
                <w:szCs w:val="14"/>
                <w:rtl w:val="0"/>
              </w:rPr>
              <w:t xml:space="preserve">Highest accuracy of the five; lightweight; tested on several datasets; interpretable (Grad-CAM)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000000"/>
                <w:sz w:val="14"/>
                <w:szCs w:val="14"/>
                <w:rtl w:val="0"/>
              </w:rPr>
              <w:t xml:space="preserve">High input resolution raises compute cost; minority classes remain hard; no calibration or abstention; no external hospital validation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14"/>
                <w:szCs w:val="14"/>
                <w:rtl w:val="0"/>
              </w:rPr>
              <w:t xml:space="preserve">Proposed MedNet, a lightweight CNN using depthwise separable convolutions, residual blocks, and CBAM spatial/channel attention. It fulfilled requirements for attention-guided feature extraction, computational comparisons, interpretability through Grad-CAM, and multi-dataset validation on BloodMNIST, DermaMNIST, OCTMNIST, and Fitzpatrick17k. It compared attention ablations and input resolutions and reported 98.3% mean BloodMNIST accuracy at 384×384.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70.0" w:type="dxa"/>
              <w:bottom w:w="60.0" w:type="dxa"/>
              <w:right w:w="7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00000"/>
                <w:sz w:val="14"/>
                <w:szCs w:val="14"/>
                <w:rtl w:val="0"/>
              </w:rPr>
              <w:t xml:space="preserve">MedNet demonstrates attention-based lightweight CNN classification across several medical-image datasets, including the MedMNIST subsets BloodMNIST, DermaMNIST, and OCTMNIST. It offers a comparison for testing attention, parameter efficiency, input resolution, accuracy/AUC, and explainability with Grad-CAM on relevant MedMNIST tasks. The 98.3% BloodMNIST accuracy is a resolution-specific reference (384×384), not a directly comparable score for every MedMNIST dataset.</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1906" w:w="16838" w:orient="landscape"/>
      <w:pgMar w:bottom="500" w:top="500" w:left="500" w:right="5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60.0" w:type="dxa"/>
        <w:bottom w:w="0.0" w:type="dxa"/>
        <w:right w:w="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