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Branch Performance Review</w:t>
      </w:r>
    </w:p>
    <w:p>
      <w:pPr>
        <w:bidi w:val="1"/>
        <w:jc w:val="right"/>
      </w:pPr>
      <w:r>
        <w:rPr>
          <w:b/>
          <w:sz w:val="32"/>
        </w:rPr>
        <w:t>مراجعة أداء الفروع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Portfolio summary</w:t>
      </w:r>
    </w:p>
    <w:p>
      <w:pPr>
        <w:bidi w:val="1"/>
        <w:jc w:val="right"/>
      </w:pPr>
      <w:r>
        <w:t>ملخص المحفظة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Comparable KPIs</w:t>
      </w:r>
    </w:p>
    <w:p>
      <w:pPr>
        <w:bidi w:val="1"/>
        <w:jc w:val="right"/>
      </w:pPr>
      <w:r>
        <w:t>مؤشرات الأداء القابلة للمقارنة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Branch variance</w:t>
      </w:r>
    </w:p>
    <w:p>
      <w:pPr>
        <w:bidi w:val="1"/>
        <w:jc w:val="right"/>
      </w:pPr>
      <w:r>
        <w:t>تباين الفروع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Operational consistency</w:t>
      </w:r>
    </w:p>
    <w:p>
      <w:pPr>
        <w:bidi w:val="1"/>
        <w:jc w:val="right"/>
      </w:pPr>
      <w:r>
        <w:t>الاتساق التشغيلي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Menu and pricing</w:t>
      </w:r>
    </w:p>
    <w:p>
      <w:pPr>
        <w:bidi w:val="1"/>
        <w:jc w:val="right"/>
      </w:pPr>
      <w:r>
        <w:t>القائمة والتسعير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People and service</w:t>
      </w:r>
    </w:p>
    <w:p>
      <w:pPr>
        <w:bidi w:val="1"/>
        <w:jc w:val="right"/>
      </w:pPr>
      <w:r>
        <w:t>الأفراد والخدمة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Local market factors</w:t>
      </w:r>
    </w:p>
    <w:p>
      <w:pPr>
        <w:bidi w:val="1"/>
        <w:jc w:val="right"/>
      </w:pPr>
      <w:r>
        <w:t>عوامل السوق المحلية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Actions by branch</w:t>
      </w:r>
    </w:p>
    <w:p>
      <w:pPr>
        <w:bidi w:val="1"/>
        <w:jc w:val="right"/>
      </w:pPr>
      <w:r>
        <w:t>إجراءات كل فرع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