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Brand Brief</w:t>
      </w:r>
    </w:p>
    <w:p>
      <w:pPr>
        <w:bidi w:val="1"/>
        <w:jc w:val="right"/>
      </w:pPr>
      <w:r>
        <w:rPr>
          <w:b/>
          <w:sz w:val="32"/>
        </w:rPr>
        <w:t>موجز علامة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Business context</w:t>
      </w:r>
    </w:p>
    <w:p>
      <w:pPr>
        <w:bidi w:val="1"/>
        <w:jc w:val="right"/>
      </w:pPr>
      <w:r>
        <w:t>سياق المشروع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Customer and occasion</w:t>
      </w:r>
    </w:p>
    <w:p>
      <w:pPr>
        <w:bidi w:val="1"/>
        <w:jc w:val="right"/>
      </w:pPr>
      <w:r>
        <w:t>العميل والمناسبة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Concept promise</w:t>
      </w:r>
    </w:p>
    <w:p>
      <w:pPr>
        <w:bidi w:val="1"/>
        <w:jc w:val="right"/>
      </w:pPr>
      <w:r>
        <w:t>وعد المفهوم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Positioning</w:t>
      </w:r>
    </w:p>
    <w:p>
      <w:pPr>
        <w:bidi w:val="1"/>
        <w:jc w:val="right"/>
      </w:pPr>
      <w:r>
        <w:t>التموضع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Personality and voice</w:t>
      </w:r>
    </w:p>
    <w:p>
      <w:pPr>
        <w:bidi w:val="1"/>
        <w:jc w:val="right"/>
      </w:pPr>
      <w:r>
        <w:t>الشخصية ونبرة الصوت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Visual direction</w:t>
      </w:r>
    </w:p>
    <w:p>
      <w:pPr>
        <w:bidi w:val="1"/>
        <w:jc w:val="right"/>
      </w:pPr>
      <w:r>
        <w:t>الاتجاه البصري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Guest touchpoints</w:t>
      </w:r>
    </w:p>
    <w:p>
      <w:pPr>
        <w:bidi w:val="1"/>
        <w:jc w:val="right"/>
      </w:pPr>
      <w:r>
        <w:t>نقاط تواصل الضيف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Approval criteria</w:t>
      </w:r>
    </w:p>
    <w:p>
      <w:pPr>
        <w:bidi w:val="1"/>
        <w:jc w:val="right"/>
      </w:pPr>
      <w:r>
        <w:t>معايير الاعتماد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