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Feasibility Study Report</w:t>
      </w:r>
    </w:p>
    <w:p>
      <w:pPr>
        <w:bidi w:val="1"/>
        <w:jc w:val="right"/>
      </w:pPr>
      <w:r>
        <w:rPr>
          <w:b/>
          <w:sz w:val="32"/>
        </w:rPr>
        <w:t>تقرير دراسة جدوى مطعم</w:t>
      </w:r>
    </w:p>
    <w:p>
      <w:r>
        <w:rPr>
          <w:b/>
          <w:color w:val="2F6B8A"/>
          <w:sz w:val="22"/>
        </w:rPr>
        <w:t>NORIVA</w:t>
      </w:r>
    </w:p>
    <w:p>
      <w:pPr>
        <w:spacing w:after="120"/>
      </w:pPr>
      <w:r>
        <w:t>This resource gives restaurant owners and operators a structured way to collect evidence, record decisions and assign actions. Replace prompts and sample wording with verified project information.</w:t>
      </w:r>
    </w:p>
    <w:p>
      <w:pPr>
        <w:bidi w:val="1"/>
        <w:jc w:val="right"/>
      </w:pPr>
      <w:r>
        <w:t>يساعد هذا المورد ملاك المطاعم والمشغلين على جمع الأدلة وتسجيل القرارات وتحويل النتائج المهمة إلى إجراءات محددة بمسؤول وتاريخ. استبدل الإرشادات ببيانات المشروع الموثقة.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Project / المشروع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Prepared by / إعداد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Review date / تاريخ المراجعة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  <w:tr>
        <w:tc>
          <w:tcPr>
            <w:tcW w:type="dxa" w:w="5040"/>
            <w:gridSpan w:val="2"/>
            <w:shd w:fill="EAF2F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</w:rPr>
              <w:t>Decision owner / صاحب القرار</w:t>
            </w:r>
          </w:p>
        </w:tc>
        <w:tc>
          <w:tcPr>
            <w:tcW w:type="dxa" w:w="5040"/>
            <w:gridSpan w:val="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/>
          </w:p>
        </w:tc>
      </w:tr>
    </w:tbl>
    <w:p/>
    <w:p>
      <w:pPr>
        <w:pStyle w:val="Heading1"/>
      </w:pPr>
      <w:r>
        <w:rPr>
          <w:b/>
        </w:rPr>
        <w:t>Executive decision</w:t>
      </w:r>
    </w:p>
    <w:p>
      <w:pPr>
        <w:bidi w:val="1"/>
        <w:jc w:val="right"/>
      </w:pPr>
      <w:r>
        <w:t>القرار التنفيذي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Concept and business model</w:t>
      </w:r>
    </w:p>
    <w:p>
      <w:pPr>
        <w:bidi w:val="1"/>
        <w:jc w:val="right"/>
      </w:pPr>
      <w:r>
        <w:t>المفهوم ونموذج العمل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Market and catchment</w:t>
      </w:r>
    </w:p>
    <w:p>
      <w:pPr>
        <w:bidi w:val="1"/>
        <w:jc w:val="right"/>
      </w:pPr>
      <w:r>
        <w:t>السوق والنطاق الجغرافي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Site assessment</w:t>
      </w:r>
    </w:p>
    <w:p>
      <w:pPr>
        <w:bidi w:val="1"/>
        <w:jc w:val="right"/>
      </w:pPr>
      <w:r>
        <w:t>تقييم الموقع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Menu and revenue model</w:t>
      </w:r>
    </w:p>
    <w:p>
      <w:pPr>
        <w:bidi w:val="1"/>
        <w:jc w:val="right"/>
      </w:pPr>
      <w:r>
        <w:t>القائمة ونموذج الإيرادات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CAPEX and operating costs</w:t>
      </w:r>
    </w:p>
    <w:p>
      <w:pPr>
        <w:bidi w:val="1"/>
        <w:jc w:val="right"/>
      </w:pPr>
      <w:r>
        <w:t>النفقات الرأسمالية وتكاليف التشغيل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Financial case</w:t>
      </w:r>
    </w:p>
    <w:p>
      <w:pPr>
        <w:bidi w:val="1"/>
        <w:jc w:val="right"/>
      </w:pPr>
      <w:r>
        <w:t>الجدوى المالية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Risk and recommendation</w:t>
      </w:r>
    </w:p>
    <w:p>
      <w:pPr>
        <w:bidi w:val="1"/>
        <w:jc w:val="right"/>
      </w:pPr>
      <w:r>
        <w:t>المخاطر والتوصية</w:t>
      </w:r>
    </w:p>
    <w:p>
      <w:r>
        <w:rPr>
          <w:b/>
        </w:rPr>
        <w:t>Purpose and decision required / الغرض والقرار المطلوب</w:t>
      </w:r>
    </w:p>
    <w:p>
      <w:r>
        <w:t>Record the verified facts, the source, the implication for the restaurant and the decision or action required.</w:t>
      </w:r>
    </w:p>
    <w:p>
      <w:pPr>
        <w:bidi w:val="1"/>
        <w:jc w:val="right"/>
      </w:pPr>
      <w:r>
        <w:t>سجل الحقائق الموثقة ومصدرها وأثرها على المطعم والقرار أو الإجراء المطلوب.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Evidence / الدليل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Source / المصدر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Implication / الأثر</w:t>
            </w:r>
          </w:p>
        </w:tc>
        <w:tc>
          <w:tcPr>
            <w:tcW w:type="dxa" w:w="252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 / الإجراء</w:t>
            </w:r>
          </w:p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25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p/>
    <w:p>
      <w:pPr>
        <w:pStyle w:val="Heading1"/>
      </w:pPr>
      <w:r>
        <w:rPr>
          <w:b/>
        </w:rPr>
        <w:t>Action plan</w:t>
      </w:r>
    </w:p>
    <w:p>
      <w:pPr>
        <w:bidi w:val="1"/>
        <w:jc w:val="right"/>
      </w:pPr>
      <w:r>
        <w:t>خطة العمل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Priority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Action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Due date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Measure</w:t>
            </w:r>
          </w:p>
        </w:tc>
        <w:tc>
          <w:tcPr>
            <w:tcW w:type="dxa" w:w="1680"/>
            <w:shd w:fill="17324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  <w:tr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  <w:tc>
          <w:tcPr>
            <w:tcW w:type="dxa" w:w="16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vAlign w:val="center"/>
          </w:tcPr>
          <w:p/>
        </w:tc>
      </w:tr>
    </w:tbl>
    <w:sectPr w:rsidR="00FC693F" w:rsidRPr="0006063C" w:rsidSect="00034616">
      <w:pgSz w:w="12240" w:h="15840"/>
      <w:pgMar w:top="1008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cs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