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Restaurant Opening Plan</w:t>
      </w:r>
    </w:p>
    <w:p>
      <w:pPr>
        <w:bidi w:val="1"/>
        <w:jc w:val="right"/>
      </w:pPr>
      <w:r>
        <w:rPr>
          <w:b/>
          <w:sz w:val="32"/>
        </w:rPr>
        <w:t>خطة افتتاح مطعم</w:t>
      </w:r>
    </w:p>
    <w:p>
      <w:r>
        <w:rPr>
          <w:b/>
          <w:color w:val="2F6B8A"/>
          <w:sz w:val="22"/>
        </w:rPr>
        <w:t>NORIVA</w:t>
      </w:r>
    </w:p>
    <w:p>
      <w:pPr>
        <w:spacing w:after="120"/>
      </w:pPr>
      <w:r>
        <w:t>This resource gives restaurant owners and operators a structured way to collect evidence, record decisions and assign actions. Replace prompts and sample wording with verified project information.</w:t>
      </w:r>
    </w:p>
    <w:p>
      <w:pPr>
        <w:bidi w:val="1"/>
        <w:jc w:val="right"/>
      </w:pPr>
      <w:r>
        <w:t>يساعد هذا المورد ملاك المطاعم والمشغلين على جمع الأدلة وتسجيل القرارات وتحويل النتائج المهمة إلى إجراءات محددة بمسؤول وتاريخ. استبدل الإرشادات ببيانات المشروع الموثقة.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Project / المشروع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Prepared by / إعداد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Review date / تاريخ المراجعة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Decision owner / صاحب القرار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</w:tbl>
    <w:p/>
    <w:p>
      <w:pPr>
        <w:pStyle w:val="Heading1"/>
      </w:pPr>
      <w:r>
        <w:rPr>
          <w:b/>
        </w:rPr>
        <w:t>Opening governance</w:t>
      </w:r>
    </w:p>
    <w:p>
      <w:pPr>
        <w:bidi w:val="1"/>
        <w:jc w:val="right"/>
      </w:pPr>
      <w:r>
        <w:t>حوكمة الافتتاح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Licensing and site readiness</w:t>
      </w:r>
    </w:p>
    <w:p>
      <w:pPr>
        <w:bidi w:val="1"/>
        <w:jc w:val="right"/>
      </w:pPr>
      <w:r>
        <w:t>التراخيص وجاهزية الموقع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Procurement and installation</w:t>
      </w:r>
    </w:p>
    <w:p>
      <w:pPr>
        <w:bidi w:val="1"/>
        <w:jc w:val="right"/>
      </w:pPr>
      <w:r>
        <w:t>التوريد والتركيب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Menu trials</w:t>
      </w:r>
    </w:p>
    <w:p>
      <w:pPr>
        <w:bidi w:val="1"/>
        <w:jc w:val="right"/>
      </w:pPr>
      <w:r>
        <w:t>تجارب القائمة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Recruitment and training</w:t>
      </w:r>
    </w:p>
    <w:p>
      <w:pPr>
        <w:bidi w:val="1"/>
        <w:jc w:val="right"/>
      </w:pPr>
      <w:r>
        <w:t>التوظيف والتدريب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Systems and controls</w:t>
      </w:r>
    </w:p>
    <w:p>
      <w:pPr>
        <w:bidi w:val="1"/>
        <w:jc w:val="right"/>
      </w:pPr>
      <w:r>
        <w:t>الأنظمة والضوابط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Marketing launch</w:t>
      </w:r>
    </w:p>
    <w:p>
      <w:pPr>
        <w:bidi w:val="1"/>
        <w:jc w:val="right"/>
      </w:pPr>
      <w:r>
        <w:t>الإطلاق التسويقي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Readiness review</w:t>
      </w:r>
    </w:p>
    <w:p>
      <w:pPr>
        <w:bidi w:val="1"/>
        <w:jc w:val="right"/>
      </w:pPr>
      <w:r>
        <w:t>مراجعة الجاهزية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Action plan</w:t>
      </w:r>
    </w:p>
    <w:p>
      <w:pPr>
        <w:bidi w:val="1"/>
        <w:jc w:val="right"/>
      </w:pPr>
      <w:r>
        <w:t>خطة العمل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Priority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Due date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Measure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sectPr w:rsidR="00FC693F" w:rsidRPr="0006063C" w:rsidSect="00034616"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cs="Arial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