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Operations Manual</w:t>
      </w:r>
    </w:p>
    <w:p>
      <w:pPr>
        <w:bidi w:val="1"/>
        <w:jc w:val="right"/>
      </w:pPr>
      <w:r>
        <w:rPr>
          <w:b/>
          <w:sz w:val="32"/>
        </w:rPr>
        <w:t>دليل تشغيل مطعم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Management routines</w:t>
      </w:r>
    </w:p>
    <w:p>
      <w:pPr>
        <w:bidi w:val="1"/>
        <w:jc w:val="right"/>
      </w:pPr>
      <w:r>
        <w:t>روتين الإدارة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Opening and closing</w:t>
      </w:r>
    </w:p>
    <w:p>
      <w:pPr>
        <w:bidi w:val="1"/>
        <w:jc w:val="right"/>
      </w:pPr>
      <w:r>
        <w:t>الفتح والإغلاق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Food production</w:t>
      </w:r>
    </w:p>
    <w:p>
      <w:pPr>
        <w:bidi w:val="1"/>
        <w:jc w:val="right"/>
      </w:pPr>
      <w:r>
        <w:t>إنتاج الطعام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Service standards</w:t>
      </w:r>
    </w:p>
    <w:p>
      <w:pPr>
        <w:bidi w:val="1"/>
        <w:jc w:val="right"/>
      </w:pPr>
      <w:r>
        <w:t>معايير الخدمة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Purchasing and receiving</w:t>
      </w:r>
    </w:p>
    <w:p>
      <w:pPr>
        <w:bidi w:val="1"/>
        <w:jc w:val="right"/>
      </w:pPr>
      <w:r>
        <w:t>الشراء والاستلام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Storage and inventory</w:t>
      </w:r>
    </w:p>
    <w:p>
      <w:pPr>
        <w:bidi w:val="1"/>
        <w:jc w:val="right"/>
      </w:pPr>
      <w:r>
        <w:t>التخزين والمخزون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Cleaning and safety</w:t>
      </w:r>
    </w:p>
    <w:p>
      <w:pPr>
        <w:bidi w:val="1"/>
        <w:jc w:val="right"/>
      </w:pPr>
      <w:r>
        <w:t>النظافة والسلامة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Cash and reporting</w:t>
      </w:r>
    </w:p>
    <w:p>
      <w:pPr>
        <w:bidi w:val="1"/>
        <w:jc w:val="right"/>
      </w:pPr>
      <w:r>
        <w:t>النقد والتقارير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Incident response</w:t>
      </w:r>
    </w:p>
    <w:p>
      <w:pPr>
        <w:bidi w:val="1"/>
        <w:jc w:val="right"/>
      </w:pPr>
      <w:r>
        <w:t>الاستجابة للحوادث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