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Turnaround Report</w:t>
      </w:r>
    </w:p>
    <w:p>
      <w:pPr>
        <w:bidi w:val="1"/>
        <w:jc w:val="right"/>
      </w:pPr>
      <w:r>
        <w:rPr>
          <w:b/>
          <w:sz w:val="32"/>
        </w:rPr>
        <w:t>تقرير إعادة هيكلة مطعم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Immediate cash controls</w:t>
      </w:r>
    </w:p>
    <w:p>
      <w:pPr>
        <w:bidi w:val="1"/>
        <w:jc w:val="right"/>
      </w:pPr>
      <w:r>
        <w:t>ضوابط النقد الفورية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Diagnostic summary</w:t>
      </w:r>
    </w:p>
    <w:p>
      <w:pPr>
        <w:bidi w:val="1"/>
        <w:jc w:val="right"/>
      </w:pPr>
      <w:r>
        <w:t>ملخص التشخيص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Menu and contribution</w:t>
      </w:r>
    </w:p>
    <w:p>
      <w:pPr>
        <w:bidi w:val="1"/>
        <w:jc w:val="right"/>
      </w:pPr>
      <w:r>
        <w:t>القائمة والمساهمة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Labor and scheduling</w:t>
      </w:r>
    </w:p>
    <w:p>
      <w:pPr>
        <w:bidi w:val="1"/>
        <w:jc w:val="right"/>
      </w:pPr>
      <w:r>
        <w:t>العمالة والجدولة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Purchasing and waste</w:t>
      </w:r>
    </w:p>
    <w:p>
      <w:pPr>
        <w:bidi w:val="1"/>
        <w:jc w:val="right"/>
      </w:pPr>
      <w:r>
        <w:t>المشتريات والهدر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Guest recovery</w:t>
      </w:r>
    </w:p>
    <w:p>
      <w:pPr>
        <w:bidi w:val="1"/>
        <w:jc w:val="right"/>
      </w:pPr>
      <w:r>
        <w:t>استعادة رضا الضيف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90-day action plan</w:t>
      </w:r>
    </w:p>
    <w:p>
      <w:pPr>
        <w:bidi w:val="1"/>
        <w:jc w:val="right"/>
      </w:pPr>
      <w:r>
        <w:t>خطة عمل لمدة 90 يوماً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Governance and KPIs</w:t>
      </w:r>
    </w:p>
    <w:p>
      <w:pPr>
        <w:bidi w:val="1"/>
        <w:jc w:val="right"/>
      </w:pPr>
      <w:r>
        <w:t>الحوكمة ومؤشرات الأداء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