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Branch Performance Review</w:t>
      </w:r>
    </w:p>
    <w:p>
      <w:pPr>
        <w:jc w:val="right"/>
        <w:bidi/>
      </w:pPr>
      <w:r>
        <w:t>مراجعة أداء الفروع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Sales and operating results</w:t>
      </w:r>
    </w:p>
    <w:p>
      <w:pPr>
        <w:jc w:val="right"/>
        <w:bidi/>
      </w:pPr>
      <w:r>
        <w:t>المبيعات ونتائج التشغيل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Cost variance and causes</w:t>
      </w:r>
    </w:p>
    <w:p>
      <w:pPr>
        <w:jc w:val="right"/>
        <w:bidi/>
      </w:pPr>
      <w:r>
        <w:t>انحراف التكلفة وأسبابه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Decisions for the next period</w:t>
      </w:r>
    </w:p>
    <w:p>
      <w:pPr>
        <w:jc w:val="right"/>
        <w:bidi/>
      </w:pPr>
      <w:r>
        <w:t>قرارات الفترة التالية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