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Brand Positioning Worksheet</w:t>
      </w:r>
    </w:p>
    <w:p>
      <w:pPr>
        <w:jc w:val="right"/>
        <w:bidi/>
      </w:pPr>
      <w:r>
        <w:t>ورقة عمل تموضع العلامة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Occasion and audience mapping</w:t>
      </w:r>
    </w:p>
    <w:p>
      <w:pPr>
        <w:jc w:val="right"/>
        <w:bidi/>
      </w:pPr>
      <w:r>
        <w:t>رسم المناسبة والجمهور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Named competitive set exercise</w:t>
      </w:r>
    </w:p>
    <w:p>
      <w:pPr>
        <w:jc w:val="right"/>
        <w:bidi/>
      </w:pPr>
      <w:r>
        <w:t>تمرين المجموعة التنافسية بالأسماء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Operational proof checklist</w:t>
      </w:r>
    </w:p>
    <w:p>
      <w:pPr>
        <w:jc w:val="right"/>
        <w:bidi/>
      </w:pPr>
      <w:r>
        <w:t>قائمة تحقق الدليل التشغيلي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