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Campaign Brief</w:t>
      </w:r>
    </w:p>
    <w:p>
      <w:pPr>
        <w:jc w:val="right"/>
        <w:bidi/>
      </w:pPr>
      <w:r>
        <w:t>موجز الحملة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Objective and success definition</w:t>
      </w:r>
    </w:p>
    <w:p>
      <w:pPr>
        <w:jc w:val="right"/>
        <w:bidi/>
      </w:pPr>
      <w:r>
        <w:t>الهدف وتعريف النجاح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Offer design and margin check</w:t>
      </w:r>
    </w:p>
    <w:p>
      <w:pPr>
        <w:jc w:val="right"/>
        <w:bidi/>
      </w:pPr>
      <w:r>
        <w:t>تصميم العرض وفحص الهامش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Audience and channel selection</w:t>
      </w:r>
    </w:p>
    <w:p>
      <w:pPr>
        <w:jc w:val="right"/>
        <w:bidi/>
      </w:pPr>
      <w:r>
        <w:t>اختيار الجمهور والقنوات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