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Mystery Shopping Report</w:t>
      </w:r>
    </w:p>
    <w:p>
      <w:pPr>
        <w:jc w:val="right"/>
        <w:bidi/>
      </w:pPr>
      <w:r>
        <w:t>تقرير المتسوق الخفي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Guest journey observations</w:t>
      </w:r>
    </w:p>
    <w:p>
      <w:pPr>
        <w:jc w:val="right"/>
        <w:bidi/>
      </w:pPr>
      <w:r>
        <w:t>ملاحظات تجربة الضيف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Kitchen and service standards</w:t>
      </w:r>
    </w:p>
    <w:p>
      <w:pPr>
        <w:jc w:val="right"/>
        <w:bidi/>
      </w:pPr>
      <w:r>
        <w:t>معايير المطبخ والخدمة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Risks and priority actions</w:t>
      </w:r>
    </w:p>
    <w:p>
      <w:pPr>
        <w:jc w:val="right"/>
        <w:bidi/>
      </w:pPr>
      <w:r>
        <w:t>المخاطر والإجراءات ذات الأولوية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