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Brand Brief</w:t>
      </w:r>
    </w:p>
    <w:p>
      <w:pPr>
        <w:jc w:val="right"/>
        <w:bidi/>
      </w:pPr>
      <w:r>
        <w:t>موجز علامة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Audience and positioning</w:t>
      </w:r>
    </w:p>
    <w:p>
      <w:pPr>
        <w:jc w:val="right"/>
        <w:bidi/>
      </w:pPr>
      <w:r>
        <w:t>الجمهور والتموضع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Channels and guest touchpoints</w:t>
      </w:r>
    </w:p>
    <w:p>
      <w:pPr>
        <w:jc w:val="right"/>
        <w:bidi/>
      </w:pPr>
      <w:r>
        <w:t>القنوات ونقاط تواصل الضيف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Budget and measurement</w:t>
      </w:r>
    </w:p>
    <w:p>
      <w:pPr>
        <w:jc w:val="right"/>
        <w:bidi/>
      </w:pPr>
      <w:r>
        <w:t>الميزانية والقياس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