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Feasibility Study Report</w:t>
      </w:r>
    </w:p>
    <w:p>
      <w:pPr>
        <w:jc w:val="right"/>
        <w:bidi/>
      </w:pPr>
      <w:r>
        <w:t>تقرير دراسة جدوى 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Concept and customer</w:t>
      </w:r>
    </w:p>
    <w:p>
      <w:pPr>
        <w:jc w:val="right"/>
        <w:bidi/>
      </w:pPr>
      <w:r>
        <w:t>المفهوم والعميل المستهدف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Location and demand evidence</w:t>
      </w:r>
    </w:p>
    <w:p>
      <w:pPr>
        <w:jc w:val="right"/>
        <w:bidi/>
      </w:pPr>
      <w:r>
        <w:t>الموقع وأدلة الطلب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Investment and operating assumptions</w:t>
      </w:r>
    </w:p>
    <w:p>
      <w:pPr>
        <w:jc w:val="right"/>
        <w:bidi/>
      </w:pPr>
      <w:r>
        <w:t>افتراضات الاستثمار والتشغيل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