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Marketing Plan</w:t>
      </w:r>
    </w:p>
    <w:p>
      <w:pPr>
        <w:jc w:val="right"/>
        <w:bidi/>
      </w:pPr>
      <w:r>
        <w:t>خطة تسويق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Positioning and messaging section</w:t>
      </w:r>
    </w:p>
    <w:p>
      <w:pPr>
        <w:jc w:val="right"/>
        <w:bidi/>
      </w:pPr>
      <w:r>
        <w:t>قسم التموضع والرسائل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Audience and catchment definition</w:t>
      </w:r>
    </w:p>
    <w:p>
      <w:pPr>
        <w:jc w:val="right"/>
        <w:bidi/>
      </w:pPr>
      <w:r>
        <w:t>تعريف الجمهور والنطاق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Offer and promotion architecture</w:t>
      </w:r>
    </w:p>
    <w:p>
      <w:pPr>
        <w:jc w:val="right"/>
        <w:bidi/>
      </w:pPr>
      <w:r>
        <w:t>بنية العروض والترويج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